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keepNext w:val="0"/>
        <w:keepLines w:val="0"/>
        <w:pageBreakBefore w:val="0"/>
        <w:kinsoku/>
        <w:wordWrap/>
        <w:topLinePunct w:val="0"/>
        <w:autoSpaceDE/>
        <w:autoSpaceDN/>
        <w:bidi w:val="0"/>
        <w:adjustRightInd w:val="0"/>
        <w:snapToGrid w:val="0"/>
        <w:spacing w:line="580" w:lineRule="exact"/>
        <w:ind w:left="0" w:leftChars="0"/>
        <w:jc w:val="center"/>
        <w:textAlignment w:val="auto"/>
        <w:rPr>
          <w:rFonts w:ascii="方正小标宋简体" w:eastAsia="方正小标宋简体" w:hAnsi="仿宋" w:cs="Times New Roman" w:hint="eastAsia"/>
          <w:b w:val="0"/>
          <w:bCs/>
          <w:kern w:val="0"/>
          <w:sz w:val="44"/>
          <w:szCs w:val="44"/>
          <w:lang w:eastAsia="zh-CN"/>
        </w:rPr>
      </w:pPr>
      <w:r>
        <w:rPr>
          <w:rFonts w:ascii="方正小标宋简体" w:eastAsia="方正小标宋简体" w:hAnsi="仿宋" w:cs="Times New Roman" w:hint="eastAsia"/>
          <w:b w:val="0"/>
          <w:bCs/>
          <w:kern w:val="0"/>
          <w:sz w:val="44"/>
          <w:szCs w:val="44"/>
          <w:lang w:eastAsia="zh-CN"/>
        </w:rPr>
        <w:t>中共宽城满族自治县纪律检查委员会</w:t>
      </w:r>
    </w:p>
    <w:p>
      <w:pPr>
        <w:keepNext w:val="0"/>
        <w:keepLines w:val="0"/>
        <w:pageBreakBefore w:val="0"/>
        <w:kinsoku/>
        <w:wordWrap/>
        <w:topLinePunct w:val="0"/>
        <w:autoSpaceDE/>
        <w:autoSpaceDN/>
        <w:bidi w:val="0"/>
        <w:adjustRightInd w:val="0"/>
        <w:snapToGrid w:val="0"/>
        <w:spacing w:line="580" w:lineRule="exact"/>
        <w:ind w:left="0" w:leftChars="0"/>
        <w:jc w:val="center"/>
        <w:textAlignment w:val="auto"/>
        <w:rPr>
          <w:rFonts w:ascii="方正小标宋简体" w:eastAsia="方正小标宋简体" w:hAnsi="仿宋" w:cs="Times New Roman" w:hint="eastAsia"/>
          <w:b w:val="0"/>
          <w:bCs/>
          <w:kern w:val="0"/>
          <w:sz w:val="44"/>
          <w:szCs w:val="44"/>
        </w:rPr>
      </w:pPr>
      <w:r>
        <w:rPr>
          <w:rFonts w:ascii="方正小标宋简体" w:eastAsia="方正小标宋简体" w:hAnsi="仿宋" w:cs="Times New Roman" w:hint="eastAsia"/>
          <w:b w:val="0"/>
          <w:bCs/>
          <w:kern w:val="0"/>
          <w:sz w:val="44"/>
          <w:szCs w:val="44"/>
        </w:rPr>
        <w:t>部门整体支出绩效评价报告</w:t>
      </w:r>
    </w:p>
    <w:p>
      <w:pPr>
        <w:pStyle w:val="BodyText"/>
        <w:keepNext w:val="0"/>
        <w:keepLines w:val="0"/>
        <w:pageBreakBefore w:val="0"/>
        <w:kinsoku/>
        <w:wordWrap/>
        <w:topLinePunct w:val="0"/>
        <w:autoSpaceDE/>
        <w:autoSpaceDN/>
        <w:bidi w:val="0"/>
        <w:spacing w:after="0" w:line="580" w:lineRule="exact"/>
        <w:ind w:firstLine="420" w:firstLineChars="200"/>
        <w:textAlignment w:val="auto"/>
        <w:rPr>
          <w:rFonts w:hint="eastAsia"/>
        </w:rPr>
      </w:pPr>
    </w:p>
    <w:p>
      <w:pPr>
        <w:keepNext w:val="0"/>
        <w:keepLines w:val="0"/>
        <w:pageBreakBefore w:val="0"/>
        <w:widowControl w:val="0"/>
        <w:kinsoku/>
        <w:wordWrap/>
        <w:topLinePunct w:val="0"/>
        <w:autoSpaceDE/>
        <w:autoSpaceDN/>
        <w:bidi w:val="0"/>
        <w:adjustRightInd w:val="0"/>
        <w:snapToGrid w:val="0"/>
        <w:spacing w:line="580" w:lineRule="exact"/>
        <w:ind w:firstLine="640" w:firstLineChars="200"/>
        <w:textAlignment w:val="auto"/>
        <w:rPr>
          <w:rFonts w:ascii="黑体" w:eastAsia="黑体" w:hAnsi="黑体" w:cs="黑体" w:hint="eastAsia"/>
          <w:b w:val="0"/>
          <w:bCs/>
          <w:sz w:val="32"/>
          <w:szCs w:val="32"/>
        </w:rPr>
      </w:pPr>
      <w:r>
        <w:rPr>
          <w:rFonts w:ascii="黑体" w:eastAsia="黑体" w:hAnsi="黑体" w:cs="黑体" w:hint="eastAsia"/>
          <w:b w:val="0"/>
          <w:bCs/>
          <w:sz w:val="32"/>
          <w:szCs w:val="32"/>
        </w:rPr>
        <w:t>一、部门基本情况</w:t>
      </w:r>
    </w:p>
    <w:p>
      <w:pPr>
        <w:keepNext w:val="0"/>
        <w:keepLines w:val="0"/>
        <w:pageBreakBefore w:val="0"/>
        <w:widowControl w:val="0"/>
        <w:kinsoku/>
        <w:wordWrap/>
        <w:topLinePunct w:val="0"/>
        <w:autoSpaceDE/>
        <w:autoSpaceDN/>
        <w:bidi w:val="0"/>
        <w:adjustRightInd w:val="0"/>
        <w:snapToGrid w:val="0"/>
        <w:spacing w:line="580" w:lineRule="exact"/>
        <w:ind w:firstLine="640" w:firstLineChars="200"/>
        <w:textAlignment w:val="auto"/>
        <w:rPr>
          <w:rFonts w:ascii="楷体_GB2312" w:eastAsia="楷体_GB2312" w:hAnsi="楷体_GB2312" w:cs="楷体_GB2312" w:hint="eastAsia"/>
          <w:b/>
          <w:bCs/>
          <w:kern w:val="0"/>
          <w:sz w:val="32"/>
          <w:szCs w:val="32"/>
        </w:rPr>
      </w:pPr>
      <w:r>
        <w:rPr>
          <w:rFonts w:ascii="楷体_GB2312" w:eastAsia="楷体_GB2312" w:hAnsi="楷体_GB2312" w:cs="楷体_GB2312" w:hint="eastAsia"/>
          <w:b/>
          <w:bCs/>
          <w:kern w:val="0"/>
          <w:sz w:val="32"/>
          <w:szCs w:val="32"/>
        </w:rPr>
        <w:t>（一）部门职能与机构设置</w:t>
      </w:r>
    </w:p>
    <w:p>
      <w:pPr>
        <w:keepNext w:val="0"/>
        <w:keepLines w:val="0"/>
        <w:pageBreakBefore w:val="0"/>
        <w:widowControl w:val="0"/>
        <w:kinsoku/>
        <w:wordWrap/>
        <w:topLinePunct w:val="0"/>
        <w:autoSpaceDE/>
        <w:autoSpaceDN/>
        <w:bidi w:val="0"/>
        <w:spacing w:line="580" w:lineRule="exact"/>
        <w:ind w:firstLine="600" w:firstLineChars="200"/>
        <w:textAlignment w:val="auto"/>
        <w:rPr>
          <w:rFonts w:ascii="楷体_GB2312" w:eastAsia="楷体_GB2312" w:hAnsi="楷体_GB2312" w:cs="楷体_GB2312" w:hint="eastAsia"/>
          <w:b/>
          <w:sz w:val="30"/>
          <w:szCs w:val="30"/>
        </w:rPr>
      </w:pPr>
      <w:r>
        <w:rPr>
          <w:rFonts w:ascii="楷体_GB2312" w:eastAsia="楷体_GB2312" w:hAnsi="楷体_GB2312" w:cs="楷体_GB2312" w:hint="eastAsia"/>
          <w:b/>
          <w:sz w:val="30"/>
          <w:szCs w:val="30"/>
          <w:lang w:val="en-US" w:eastAsia="zh-CN"/>
        </w:rPr>
        <w:t>1、</w:t>
      </w:r>
      <w:r>
        <w:rPr>
          <w:rFonts w:ascii="楷体_GB2312" w:eastAsia="楷体_GB2312" w:hAnsi="楷体_GB2312" w:cs="楷体_GB2312" w:hint="eastAsia"/>
          <w:b/>
          <w:sz w:val="30"/>
          <w:szCs w:val="30"/>
        </w:rPr>
        <w:t>部门职责：</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1</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2</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依照党的章程和其他党内法规履行监督、执纪、问责职责。负责经常对党员进行遵守纪律的教育，作出关于维护党纪的决定；对县委工作机关、县委批准设立的党委（党组），各乡镇（城区街道）党委、纪委等党的组织和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3</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支持配合巡视巡察工作。承担巡视巡察整改日常监督责任，做好巡视巡察整改督查督办工作，依规依纪依法处置巡视巡察移交的反映领导干部问题线索。</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4</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负责全县监察工作。贯彻落实党中央和省委、市委、县委关于监察工作的决策部署，维护宪法法律，依法对县委管理的行使公权力的公职人员进行监察，调查职务违法和职务犯罪，开展廉政建设和反腐败工作。</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5</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w:t>
      </w:r>
      <w:bookmarkStart w:id="0" w:name="_GoBack"/>
      <w:bookmarkEnd w:id="0"/>
      <w:r>
        <w:rPr>
          <w:rFonts w:ascii="仿宋_GB2312" w:eastAsia="仿宋_GB2312" w:hAnsi="仿宋_GB2312" w:cs="仿宋_GB2312" w:hint="eastAsia"/>
          <w:kern w:val="0"/>
          <w:sz w:val="32"/>
          <w:szCs w:val="32"/>
        </w:rPr>
        <w:t>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6</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负责组织协调全面从严治党、党风廉政建设和反腐败宣传教育工作。</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7</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负责综合分析全面从严治党、党风廉政建设和反腐败工作情况，对纪检监察工作重要理论及实践问题进行调查研究；制定或者修改全县纪检监察法规制度，参与起草有关法律、法规和规范性文件。</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8</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负责组织协调全县反腐败追逃追赃和防逃工作，督促有关单位做好相关工作。</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9</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根据干部管理权限，负责全县纪检监察系统干部队伍建设和组织建设的综合规划、政策研究、制度建设和业务指导；会同有关方面做好县委巡察机构、开发区派出纪检监察组、乡镇（城区街道）纪检监察机构领导班子建设有关工作；组织全县纪检监察系统干部教育培训工作等。</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b/>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10</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完成市纪委监委、县委交办的其他任务。</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lang w:val="en-US" w:eastAsia="zh-CN"/>
        </w:rPr>
        <w:t>2、</w:t>
      </w:r>
      <w:r>
        <w:rPr>
          <w:rFonts w:ascii="楷体_GB2312" w:eastAsia="楷体_GB2312" w:hAnsi="楷体_GB2312" w:cs="楷体_GB2312" w:hint="eastAsia"/>
          <w:b/>
          <w:sz w:val="32"/>
          <w:szCs w:val="32"/>
        </w:rPr>
        <w:t>机构设置：</w:t>
      </w:r>
    </w:p>
    <w:p>
      <w:pPr>
        <w:keepNext w:val="0"/>
        <w:keepLines w:val="0"/>
        <w:pageBreakBefore w:val="0"/>
        <w:widowControl w:val="0"/>
        <w:kinsoku/>
        <w:wordWrap/>
        <w:topLinePunct w:val="0"/>
        <w:autoSpaceDE/>
        <w:autoSpaceDN/>
        <w:bidi w:val="0"/>
        <w:spacing w:line="580" w:lineRule="exact"/>
        <w:ind w:firstLine="640" w:firstLineChars="200"/>
        <w:jc w:val="center"/>
        <w:textAlignment w:val="auto"/>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部门机构设置情况</w:t>
      </w:r>
    </w:p>
    <w:tbl>
      <w:tblPr>
        <w:tblStyle w:val="TableNormal"/>
        <w:tblW w:w="80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166"/>
        <w:gridCol w:w="1523"/>
        <w:gridCol w:w="1362"/>
        <w:gridCol w:w="1985"/>
      </w:tblGrid>
      <w:tr>
        <w:tblPrEx>
          <w:tblW w:w="80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00"/>
          <w:tblHeader/>
          <w:jc w:val="center"/>
        </w:trPr>
        <w:tc>
          <w:tcPr>
            <w:tcW w:w="3166" w:type="dxa"/>
            <w:vMerge w:val="restart"/>
            <w:vAlign w:val="center"/>
          </w:tcPr>
          <w:p>
            <w:pPr>
              <w:keepNext w:val="0"/>
              <w:keepLines w:val="0"/>
              <w:pageBreakBefore w:val="0"/>
              <w:widowControl w:val="0"/>
              <w:kinsoku/>
              <w:wordWrap/>
              <w:topLinePunct w:val="0"/>
              <w:autoSpaceDE/>
              <w:autoSpaceDN/>
              <w:bidi w:val="0"/>
              <w:spacing w:line="580" w:lineRule="exact"/>
              <w:jc w:val="center"/>
              <w:textAlignment w:val="auto"/>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单位名称</w:t>
            </w:r>
          </w:p>
        </w:tc>
        <w:tc>
          <w:tcPr>
            <w:tcW w:w="1523" w:type="dxa"/>
            <w:vMerge w:val="restart"/>
            <w:vAlign w:val="center"/>
          </w:tcPr>
          <w:p>
            <w:pPr>
              <w:keepNext w:val="0"/>
              <w:keepLines w:val="0"/>
              <w:pageBreakBefore w:val="0"/>
              <w:widowControl w:val="0"/>
              <w:kinsoku/>
              <w:wordWrap/>
              <w:topLinePunct w:val="0"/>
              <w:autoSpaceDE/>
              <w:autoSpaceDN/>
              <w:bidi w:val="0"/>
              <w:spacing w:line="580" w:lineRule="exact"/>
              <w:jc w:val="center"/>
              <w:textAlignment w:val="auto"/>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单位性质</w:t>
            </w:r>
          </w:p>
        </w:tc>
        <w:tc>
          <w:tcPr>
            <w:tcW w:w="1362" w:type="dxa"/>
            <w:vMerge w:val="restart"/>
            <w:vAlign w:val="center"/>
          </w:tcPr>
          <w:p>
            <w:pPr>
              <w:keepNext w:val="0"/>
              <w:keepLines w:val="0"/>
              <w:pageBreakBefore w:val="0"/>
              <w:widowControl w:val="0"/>
              <w:kinsoku/>
              <w:wordWrap/>
              <w:topLinePunct w:val="0"/>
              <w:autoSpaceDE/>
              <w:autoSpaceDN/>
              <w:bidi w:val="0"/>
              <w:spacing w:line="580" w:lineRule="exact"/>
              <w:jc w:val="center"/>
              <w:textAlignment w:val="auto"/>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单位规格</w:t>
            </w:r>
          </w:p>
        </w:tc>
        <w:tc>
          <w:tcPr>
            <w:tcW w:w="1985" w:type="dxa"/>
            <w:vMerge w:val="restart"/>
            <w:vAlign w:val="center"/>
          </w:tcPr>
          <w:p>
            <w:pPr>
              <w:keepNext w:val="0"/>
              <w:keepLines w:val="0"/>
              <w:pageBreakBefore w:val="0"/>
              <w:widowControl w:val="0"/>
              <w:kinsoku/>
              <w:wordWrap/>
              <w:topLinePunct w:val="0"/>
              <w:autoSpaceDE/>
              <w:autoSpaceDN/>
              <w:bidi w:val="0"/>
              <w:spacing w:line="580" w:lineRule="exact"/>
              <w:jc w:val="center"/>
              <w:textAlignment w:val="auto"/>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经费保障形式</w:t>
            </w:r>
          </w:p>
        </w:tc>
      </w:tr>
      <w:tr>
        <w:tblPrEx>
          <w:tblW w:w="8036" w:type="dxa"/>
          <w:jc w:val="center"/>
          <w:tblLayout w:type="fixed"/>
          <w:tblCellMar>
            <w:top w:w="0" w:type="dxa"/>
            <w:left w:w="108" w:type="dxa"/>
            <w:bottom w:w="0" w:type="dxa"/>
            <w:right w:w="108" w:type="dxa"/>
          </w:tblCellMar>
        </w:tblPrEx>
        <w:trPr>
          <w:trHeight w:val="337"/>
          <w:tblHeader/>
          <w:jc w:val="center"/>
        </w:trPr>
        <w:tc>
          <w:tcPr>
            <w:tcW w:w="3166" w:type="dxa"/>
            <w:vMerge/>
            <w:vAlign w:val="center"/>
          </w:tcPr>
          <w:p>
            <w:pPr>
              <w:keepNext w:val="0"/>
              <w:keepLines w:val="0"/>
              <w:pageBreakBefore w:val="0"/>
              <w:widowControl w:val="0"/>
              <w:kinsoku/>
              <w:wordWrap/>
              <w:topLinePunct w:val="0"/>
              <w:autoSpaceDE/>
              <w:autoSpaceDN/>
              <w:bidi w:val="0"/>
              <w:spacing w:line="580" w:lineRule="exact"/>
              <w:ind w:firstLine="640" w:firstLineChars="200"/>
              <w:jc w:val="center"/>
              <w:textAlignment w:val="auto"/>
              <w:outlineLvl w:val="0"/>
              <w:rPr>
                <w:rFonts w:ascii="仿宋_GB2312" w:eastAsia="仿宋_GB2312" w:hAnsi="仿宋_GB2312" w:cs="仿宋_GB2312" w:hint="eastAsia"/>
                <w:sz w:val="32"/>
                <w:szCs w:val="32"/>
              </w:rPr>
            </w:pPr>
          </w:p>
        </w:tc>
        <w:tc>
          <w:tcPr>
            <w:tcW w:w="1523" w:type="dxa"/>
            <w:vMerge/>
            <w:vAlign w:val="center"/>
          </w:tcPr>
          <w:p>
            <w:pPr>
              <w:keepNext w:val="0"/>
              <w:keepLines w:val="0"/>
              <w:pageBreakBefore w:val="0"/>
              <w:widowControl w:val="0"/>
              <w:kinsoku/>
              <w:wordWrap/>
              <w:topLinePunct w:val="0"/>
              <w:autoSpaceDE/>
              <w:autoSpaceDN/>
              <w:bidi w:val="0"/>
              <w:spacing w:line="580" w:lineRule="exact"/>
              <w:ind w:firstLine="640" w:firstLineChars="200"/>
              <w:jc w:val="center"/>
              <w:textAlignment w:val="auto"/>
              <w:outlineLvl w:val="0"/>
              <w:rPr>
                <w:rFonts w:ascii="仿宋_GB2312" w:eastAsia="仿宋_GB2312" w:hAnsi="仿宋_GB2312" w:cs="仿宋_GB2312" w:hint="eastAsia"/>
                <w:sz w:val="32"/>
                <w:szCs w:val="32"/>
              </w:rPr>
            </w:pPr>
          </w:p>
        </w:tc>
        <w:tc>
          <w:tcPr>
            <w:tcW w:w="1362" w:type="dxa"/>
            <w:vMerge/>
            <w:vAlign w:val="center"/>
          </w:tcPr>
          <w:p>
            <w:pPr>
              <w:keepNext w:val="0"/>
              <w:keepLines w:val="0"/>
              <w:pageBreakBefore w:val="0"/>
              <w:widowControl w:val="0"/>
              <w:kinsoku/>
              <w:wordWrap/>
              <w:topLinePunct w:val="0"/>
              <w:autoSpaceDE/>
              <w:autoSpaceDN/>
              <w:bidi w:val="0"/>
              <w:spacing w:line="580" w:lineRule="exact"/>
              <w:ind w:firstLine="640" w:firstLineChars="200"/>
              <w:jc w:val="center"/>
              <w:textAlignment w:val="auto"/>
              <w:outlineLvl w:val="0"/>
              <w:rPr>
                <w:rFonts w:ascii="仿宋_GB2312" w:eastAsia="仿宋_GB2312" w:hAnsi="仿宋_GB2312" w:cs="仿宋_GB2312" w:hint="eastAsia"/>
                <w:sz w:val="32"/>
                <w:szCs w:val="32"/>
              </w:rPr>
            </w:pPr>
          </w:p>
        </w:tc>
        <w:tc>
          <w:tcPr>
            <w:tcW w:w="1985" w:type="dxa"/>
            <w:vMerge/>
            <w:vAlign w:val="center"/>
          </w:tcPr>
          <w:p>
            <w:pPr>
              <w:keepNext w:val="0"/>
              <w:keepLines w:val="0"/>
              <w:pageBreakBefore w:val="0"/>
              <w:widowControl w:val="0"/>
              <w:kinsoku/>
              <w:wordWrap/>
              <w:topLinePunct w:val="0"/>
              <w:autoSpaceDE/>
              <w:autoSpaceDN/>
              <w:bidi w:val="0"/>
              <w:spacing w:line="580" w:lineRule="exact"/>
              <w:ind w:firstLine="640" w:firstLineChars="200"/>
              <w:jc w:val="center"/>
              <w:textAlignment w:val="auto"/>
              <w:outlineLvl w:val="0"/>
              <w:rPr>
                <w:rFonts w:ascii="仿宋_GB2312" w:eastAsia="仿宋_GB2312" w:hAnsi="仿宋_GB2312" w:cs="仿宋_GB2312" w:hint="eastAsia"/>
                <w:sz w:val="32"/>
                <w:szCs w:val="32"/>
              </w:rPr>
            </w:pPr>
          </w:p>
        </w:tc>
      </w:tr>
      <w:tr>
        <w:tblPrEx>
          <w:tblW w:w="8036" w:type="dxa"/>
          <w:jc w:val="center"/>
          <w:tblLayout w:type="fixed"/>
          <w:tblCellMar>
            <w:top w:w="0" w:type="dxa"/>
            <w:left w:w="108" w:type="dxa"/>
            <w:bottom w:w="0" w:type="dxa"/>
            <w:right w:w="108" w:type="dxa"/>
          </w:tblCellMar>
        </w:tblPrEx>
        <w:trPr>
          <w:trHeight w:val="552"/>
          <w:jc w:val="center"/>
        </w:trPr>
        <w:tc>
          <w:tcPr>
            <w:tcW w:w="31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中共宽城满族自治县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rPr>
              <w:t>纪律检查委员会</w:t>
            </w:r>
            <w:r>
              <w:rPr>
                <w:rFonts w:ascii="仿宋_GB2312" w:eastAsia="仿宋_GB2312" w:hAnsi="仿宋_GB2312" w:cs="仿宋_GB2312" w:hint="eastAsia"/>
                <w:sz w:val="24"/>
                <w:szCs w:val="24"/>
                <w:lang w:eastAsia="zh-CN"/>
              </w:rPr>
              <w:t>（本级）</w:t>
            </w:r>
          </w:p>
        </w:tc>
        <w:tc>
          <w:tcPr>
            <w:tcW w:w="1523" w:type="dxa"/>
            <w:vAlign w:val="center"/>
          </w:tcPr>
          <w:p>
            <w:pPr>
              <w:keepNext w:val="0"/>
              <w:keepLines w:val="0"/>
              <w:pageBreakBefore w:val="0"/>
              <w:widowControl w:val="0"/>
              <w:kinsoku/>
              <w:wordWrap/>
              <w:topLinePunct w:val="0"/>
              <w:autoSpaceDE/>
              <w:autoSpaceDN/>
              <w:bidi w:val="0"/>
              <w:spacing w:line="580" w:lineRule="exact"/>
              <w:jc w:val="center"/>
              <w:textAlignment w:val="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行政</w:t>
            </w:r>
          </w:p>
        </w:tc>
        <w:tc>
          <w:tcPr>
            <w:tcW w:w="1362" w:type="dxa"/>
            <w:vAlign w:val="center"/>
          </w:tcPr>
          <w:p>
            <w:pPr>
              <w:keepNext w:val="0"/>
              <w:keepLines w:val="0"/>
              <w:pageBreakBefore w:val="0"/>
              <w:widowControl w:val="0"/>
              <w:kinsoku/>
              <w:wordWrap/>
              <w:topLinePunct w:val="0"/>
              <w:autoSpaceDE/>
              <w:autoSpaceDN/>
              <w:bidi w:val="0"/>
              <w:spacing w:line="580" w:lineRule="exact"/>
              <w:jc w:val="center"/>
              <w:textAlignment w:val="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正科级</w:t>
            </w:r>
          </w:p>
        </w:tc>
        <w:tc>
          <w:tcPr>
            <w:tcW w:w="1985" w:type="dxa"/>
            <w:vAlign w:val="center"/>
          </w:tcPr>
          <w:p>
            <w:pPr>
              <w:keepNext w:val="0"/>
              <w:keepLines w:val="0"/>
              <w:pageBreakBefore w:val="0"/>
              <w:widowControl w:val="0"/>
              <w:kinsoku/>
              <w:wordWrap/>
              <w:topLinePunct w:val="0"/>
              <w:autoSpaceDE/>
              <w:autoSpaceDN/>
              <w:bidi w:val="0"/>
              <w:spacing w:line="580" w:lineRule="exact"/>
              <w:jc w:val="center"/>
              <w:textAlignment w:val="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财政拨款</w:t>
            </w:r>
          </w:p>
        </w:tc>
      </w:tr>
    </w:tbl>
    <w:p>
      <w:pPr>
        <w:keepNext w:val="0"/>
        <w:keepLines w:val="0"/>
        <w:pageBreakBefore w:val="0"/>
        <w:widowControl w:val="0"/>
        <w:kinsoku/>
        <w:wordWrap/>
        <w:topLinePunct w:val="0"/>
        <w:autoSpaceDE/>
        <w:autoSpaceDN/>
        <w:bidi w:val="0"/>
        <w:adjustRightInd w:val="0"/>
        <w:snapToGrid w:val="0"/>
        <w:spacing w:line="580" w:lineRule="exact"/>
        <w:ind w:firstLine="640" w:firstLineChars="200"/>
        <w:textAlignment w:val="auto"/>
        <w:rPr>
          <w:rFonts w:ascii="楷体_GB2312" w:eastAsia="楷体_GB2312" w:hAnsi="楷体_GB2312" w:cs="楷体_GB2312" w:hint="eastAsia"/>
          <w:b/>
          <w:bCs/>
          <w:kern w:val="0"/>
          <w:sz w:val="32"/>
          <w:szCs w:val="32"/>
          <w:lang w:eastAsia="zh-CN"/>
        </w:rPr>
      </w:pPr>
    </w:p>
    <w:p>
      <w:pPr>
        <w:keepNext w:val="0"/>
        <w:keepLines w:val="0"/>
        <w:pageBreakBefore w:val="0"/>
        <w:widowControl w:val="0"/>
        <w:kinsoku/>
        <w:wordWrap/>
        <w:topLinePunct w:val="0"/>
        <w:autoSpaceDE/>
        <w:autoSpaceDN/>
        <w:bidi w:val="0"/>
        <w:adjustRightInd w:val="0"/>
        <w:snapToGrid w:val="0"/>
        <w:spacing w:line="580" w:lineRule="exact"/>
        <w:ind w:firstLine="640" w:firstLineChars="200"/>
        <w:textAlignment w:val="auto"/>
        <w:rPr>
          <w:rFonts w:ascii="楷体_GB2312" w:eastAsia="楷体_GB2312" w:hAnsi="楷体_GB2312" w:cs="楷体_GB2312" w:hint="eastAsia"/>
          <w:b/>
          <w:bCs/>
          <w:kern w:val="0"/>
          <w:sz w:val="32"/>
          <w:szCs w:val="32"/>
        </w:rPr>
      </w:pPr>
      <w:r>
        <w:rPr>
          <w:rFonts w:ascii="楷体_GB2312" w:eastAsia="楷体_GB2312" w:hAnsi="楷体_GB2312" w:cs="楷体_GB2312" w:hint="eastAsia"/>
          <w:b/>
          <w:bCs/>
          <w:kern w:val="0"/>
          <w:sz w:val="32"/>
          <w:szCs w:val="32"/>
          <w:lang w:eastAsia="zh-CN"/>
        </w:rPr>
        <w:t>（二）</w:t>
      </w:r>
      <w:r>
        <w:rPr>
          <w:rFonts w:ascii="楷体_GB2312" w:eastAsia="楷体_GB2312" w:hAnsi="楷体_GB2312" w:cs="楷体_GB2312" w:hint="eastAsia"/>
          <w:b/>
          <w:bCs/>
          <w:kern w:val="0"/>
          <w:sz w:val="32"/>
          <w:szCs w:val="32"/>
        </w:rPr>
        <w:t>人员情况</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val="en-US" w:eastAsia="zh-CN"/>
        </w:rPr>
        <w:t xml:space="preserve"> </w:t>
      </w:r>
      <w:r>
        <w:rPr>
          <w:rFonts w:ascii="仿宋_GB2312" w:eastAsia="仿宋_GB2312" w:hAnsi="仿宋_GB2312" w:cs="仿宋_GB2312" w:hint="eastAsia"/>
          <w:sz w:val="32"/>
          <w:szCs w:val="32"/>
        </w:rPr>
        <w:t>2021年底我单位</w:t>
      </w:r>
      <w:r>
        <w:rPr>
          <w:rFonts w:ascii="仿宋_GB2312" w:eastAsia="仿宋_GB2312" w:hAnsi="仿宋_GB2312" w:cs="仿宋_GB2312" w:hint="eastAsia"/>
          <w:sz w:val="32"/>
          <w:szCs w:val="32"/>
          <w:lang w:eastAsia="zh-CN"/>
        </w:rPr>
        <w:t>共有</w:t>
      </w:r>
      <w:r>
        <w:rPr>
          <w:rFonts w:ascii="仿宋_GB2312" w:eastAsia="仿宋_GB2312" w:hAnsi="仿宋_GB2312" w:cs="仿宋_GB2312" w:hint="eastAsia"/>
          <w:sz w:val="32"/>
          <w:szCs w:val="32"/>
        </w:rPr>
        <w:t>编制103名，实有在职</w:t>
      </w:r>
      <w:r>
        <w:rPr>
          <w:rFonts w:ascii="仿宋_GB2312" w:eastAsia="仿宋_GB2312" w:hAnsi="仿宋_GB2312" w:cs="仿宋_GB2312" w:hint="eastAsia"/>
          <w:sz w:val="32"/>
          <w:szCs w:val="32"/>
          <w:lang w:eastAsia="zh-CN"/>
        </w:rPr>
        <w:t>人员</w:t>
      </w:r>
      <w:r>
        <w:rPr>
          <w:rFonts w:ascii="仿宋_GB2312" w:eastAsia="仿宋_GB2312" w:hAnsi="仿宋_GB2312" w:cs="仿宋_GB2312" w:hint="eastAsia"/>
          <w:sz w:val="32"/>
          <w:szCs w:val="32"/>
        </w:rPr>
        <w:t>85人。</w:t>
      </w:r>
    </w:p>
    <w:p>
      <w:pPr>
        <w:pStyle w:val="BodyText"/>
        <w:keepNext w:val="0"/>
        <w:keepLines w:val="0"/>
        <w:pageBreakBefore w:val="0"/>
        <w:widowControl w:val="0"/>
        <w:kinsoku/>
        <w:wordWrap/>
        <w:topLinePunct w:val="0"/>
        <w:autoSpaceDE/>
        <w:autoSpaceDN/>
        <w:bidi w:val="0"/>
        <w:spacing w:after="0" w:line="580" w:lineRule="exact"/>
        <w:ind w:firstLine="640" w:firstLineChars="200"/>
        <w:textAlignment w:val="auto"/>
        <w:rPr>
          <w:rFonts w:ascii="楷体_GB2312" w:eastAsia="楷体_GB2312" w:hAnsi="楷体_GB2312" w:cs="楷体_GB2312" w:hint="eastAsia"/>
          <w:b/>
          <w:bCs/>
          <w:kern w:val="0"/>
          <w:sz w:val="32"/>
          <w:szCs w:val="32"/>
          <w:lang w:val="en-US" w:eastAsia="zh-CN" w:bidi="ar-SA"/>
        </w:rPr>
      </w:pPr>
      <w:r>
        <w:rPr>
          <w:rFonts w:ascii="楷体_GB2312" w:eastAsia="楷体_GB2312" w:hAnsi="楷体_GB2312" w:cs="楷体_GB2312" w:hint="eastAsia"/>
          <w:b/>
          <w:bCs/>
          <w:kern w:val="0"/>
          <w:sz w:val="32"/>
          <w:szCs w:val="32"/>
          <w:lang w:val="en-US" w:eastAsia="zh-CN" w:bidi="ar-SA"/>
        </w:rPr>
        <w:t>（三）部门年度整体收支情况</w:t>
      </w:r>
    </w:p>
    <w:p>
      <w:pPr>
        <w:pStyle w:val="BodyText"/>
        <w:keepNext w:val="0"/>
        <w:keepLines w:val="0"/>
        <w:pageBreakBefore w:val="0"/>
        <w:widowControl w:val="0"/>
        <w:kinsoku/>
        <w:wordWrap/>
        <w:topLinePunct w:val="0"/>
        <w:autoSpaceDE/>
        <w:autoSpaceDN/>
        <w:bidi w:val="0"/>
        <w:spacing w:after="0" w:line="580" w:lineRule="exact"/>
        <w:ind w:firstLine="640" w:firstLineChars="200"/>
        <w:textAlignment w:val="auto"/>
        <w:rPr>
          <w:rFonts w:ascii="仿宋_GB2312" w:eastAsia="仿宋_GB2312" w:hAnsi="仿宋_GB2312" w:cs="仿宋_GB2312" w:hint="eastAsia"/>
          <w:kern w:val="2"/>
          <w:sz w:val="32"/>
          <w:szCs w:val="32"/>
          <w:lang w:val="en-US" w:eastAsia="zh-CN" w:bidi="ar-SA"/>
        </w:rPr>
      </w:pPr>
      <w:r>
        <w:rPr>
          <w:rFonts w:ascii="仿宋_GB2312" w:eastAsia="仿宋_GB2312" w:hAnsi="仿宋_GB2312" w:cs="仿宋_GB2312" w:hint="eastAsia"/>
          <w:kern w:val="2"/>
          <w:sz w:val="32"/>
          <w:szCs w:val="32"/>
          <w:lang w:val="en-US" w:eastAsia="zh-CN" w:bidi="ar-SA"/>
        </w:rPr>
        <w:t>本部门2021年度本年收入合计1078.91万元，其中：财政拨款收入1078.91万元，经营收入0万元，其他收入0万元。</w:t>
      </w:r>
    </w:p>
    <w:p>
      <w:pPr>
        <w:keepNext w:val="0"/>
        <w:keepLines w:val="0"/>
        <w:pageBreakBefore w:val="0"/>
        <w:widowControl w:val="0"/>
        <w:kinsoku/>
        <w:wordWrap/>
        <w:topLinePunct w:val="0"/>
        <w:autoSpaceDE/>
        <w:autoSpaceDN/>
        <w:bidi w:val="0"/>
        <w:snapToGrid w:val="0"/>
        <w:spacing w:line="580" w:lineRule="exact"/>
        <w:ind w:left="0" w:firstLine="640" w:leftChars="0" w:firstLineChars="200"/>
        <w:textAlignment w:val="auto"/>
        <w:rPr>
          <w:rFonts w:eastAsia="仿宋_GB2312" w:hint="default"/>
          <w:sz w:val="32"/>
          <w:szCs w:val="32"/>
          <w:lang w:val="en-US" w:eastAsia="zh-CN"/>
        </w:rPr>
      </w:pPr>
      <w:r>
        <w:rPr>
          <w:rFonts w:ascii="仿宋_GB2312" w:eastAsia="仿宋_GB2312" w:hAnsi="仿宋_GB2312" w:cs="仿宋_GB2312" w:hint="eastAsia"/>
          <w:sz w:val="32"/>
          <w:szCs w:val="32"/>
          <w:lang w:val="en-US" w:eastAsia="zh-CN"/>
        </w:rPr>
        <w:t xml:space="preserve"> </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val="en-US" w:eastAsia="zh-CN"/>
        </w:rPr>
        <w:t>1</w:t>
      </w:r>
      <w:r>
        <w:rPr>
          <w:rFonts w:ascii="仿宋_GB2312" w:eastAsia="仿宋_GB2312" w:hAnsi="仿宋_GB2312" w:cs="仿宋_GB2312" w:hint="eastAsia"/>
          <w:sz w:val="32"/>
          <w:szCs w:val="32"/>
        </w:rPr>
        <w:t>年支出为</w:t>
      </w:r>
      <w:r>
        <w:rPr>
          <w:rFonts w:ascii="仿宋_GB2312" w:eastAsia="仿宋_GB2312" w:hAnsi="仿宋_GB2312" w:cs="仿宋_GB2312" w:hint="eastAsia"/>
          <w:sz w:val="32"/>
          <w:szCs w:val="32"/>
          <w:lang w:val="en-US" w:eastAsia="zh-CN"/>
        </w:rPr>
        <w:t>1183.46</w:t>
      </w:r>
      <w:r>
        <w:rPr>
          <w:rFonts w:ascii="仿宋_GB2312" w:eastAsia="仿宋_GB2312" w:hAnsi="仿宋_GB2312" w:cs="仿宋_GB2312" w:hint="eastAsia"/>
          <w:sz w:val="32"/>
          <w:szCs w:val="32"/>
        </w:rPr>
        <w:t>万元，其中基本支出为</w:t>
      </w:r>
      <w:r>
        <w:rPr>
          <w:rFonts w:ascii="仿宋_GB2312" w:eastAsia="仿宋_GB2312" w:hAnsi="仿宋_GB2312" w:cs="仿宋_GB2312" w:hint="eastAsia"/>
          <w:sz w:val="32"/>
          <w:szCs w:val="32"/>
          <w:lang w:val="en-US" w:eastAsia="zh-CN"/>
        </w:rPr>
        <w:t>1141.78</w:t>
      </w:r>
      <w:r>
        <w:rPr>
          <w:rFonts w:ascii="仿宋_GB2312" w:eastAsia="仿宋_GB2312" w:hAnsi="仿宋_GB2312" w:cs="仿宋_GB2312" w:hint="eastAsia"/>
          <w:sz w:val="32"/>
          <w:szCs w:val="32"/>
        </w:rPr>
        <w:t>万元，占总收入的8</w:t>
      </w:r>
      <w:r>
        <w:rPr>
          <w:rFonts w:ascii="仿宋_GB2312" w:eastAsia="仿宋_GB2312" w:hAnsi="仿宋_GB2312" w:cs="仿宋_GB2312" w:hint="eastAsia"/>
          <w:sz w:val="32"/>
          <w:szCs w:val="32"/>
          <w:lang w:val="en-US" w:eastAsia="zh-CN"/>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（人员经费支出</w:t>
      </w:r>
      <w:r>
        <w:rPr>
          <w:rFonts w:ascii="仿宋_GB2312" w:eastAsia="仿宋_GB2312" w:hAnsi="仿宋_GB2312" w:cs="仿宋_GB2312" w:hint="eastAsia"/>
          <w:sz w:val="32"/>
          <w:szCs w:val="32"/>
          <w:lang w:val="en-US" w:eastAsia="zh-CN"/>
        </w:rPr>
        <w:t>738.67，占基本支出的65%，公用经费支出403.11，占基本支出的35.3%</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项目支出为</w:t>
      </w:r>
      <w:r>
        <w:rPr>
          <w:rFonts w:ascii="仿宋_GB2312" w:eastAsia="仿宋_GB2312" w:hAnsi="仿宋_GB2312" w:cs="仿宋_GB2312" w:hint="eastAsia"/>
          <w:sz w:val="32"/>
          <w:szCs w:val="32"/>
          <w:lang w:val="en-US" w:eastAsia="zh-CN"/>
        </w:rPr>
        <w:t>41.68</w:t>
      </w:r>
      <w:r>
        <w:rPr>
          <w:rFonts w:ascii="仿宋_GB2312" w:eastAsia="仿宋_GB2312" w:hAnsi="仿宋_GB2312" w:cs="仿宋_GB2312" w:hint="eastAsia"/>
          <w:sz w:val="32"/>
          <w:szCs w:val="32"/>
        </w:rPr>
        <w:t>万元，占总收入</w:t>
      </w:r>
      <w:r>
        <w:rPr>
          <w:rFonts w:ascii="仿宋_GB2312" w:eastAsia="仿宋_GB2312" w:hAnsi="仿宋_GB2312" w:cs="仿宋_GB2312" w:hint="eastAsia"/>
          <w:sz w:val="32"/>
          <w:szCs w:val="32"/>
          <w:lang w:val="en-US" w:eastAsia="zh-CN"/>
        </w:rPr>
        <w:t>3.12</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lang w:val="en-US" w:eastAsia="zh-CN"/>
        </w:rPr>
        <w:t>92</w:t>
      </w:r>
      <w:r>
        <w:rPr>
          <w:rFonts w:ascii="仿宋_GB2312" w:eastAsia="仿宋_GB2312" w:hAnsi="仿宋_GB2312" w:cs="仿宋_GB2312" w:hint="eastAsia"/>
          <w:sz w:val="32"/>
          <w:szCs w:val="32"/>
        </w:rPr>
        <w:t>万元，占总收入的</w:t>
      </w:r>
      <w:r>
        <w:rPr>
          <w:rFonts w:ascii="仿宋_GB2312" w:eastAsia="仿宋_GB2312" w:hAnsi="仿宋_GB2312" w:cs="仿宋_GB2312" w:hint="eastAsia"/>
          <w:sz w:val="32"/>
          <w:szCs w:val="32"/>
          <w:lang w:val="en-US" w:eastAsia="zh-CN"/>
        </w:rPr>
        <w:t>6.8</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lang w:val="en-US" w:eastAsia="zh-CN"/>
        </w:rPr>
        <w:t>43</w:t>
      </w:r>
      <w:r>
        <w:rPr>
          <w:rFonts w:ascii="仿宋_GB2312" w:eastAsia="仿宋_GB2312" w:hAnsi="仿宋_GB2312" w:cs="仿宋_GB2312" w:hint="eastAsia"/>
          <w:sz w:val="32"/>
          <w:szCs w:val="32"/>
        </w:rPr>
        <w:t>万元，占总收入</w:t>
      </w:r>
      <w:r>
        <w:rPr>
          <w:rFonts w:ascii="仿宋_GB2312" w:eastAsia="仿宋_GB2312" w:hAnsi="仿宋_GB2312" w:cs="仿宋_GB2312" w:hint="eastAsia"/>
          <w:sz w:val="32"/>
          <w:szCs w:val="32"/>
          <w:lang w:val="en-US" w:eastAsia="zh-CN"/>
        </w:rPr>
        <w:t>3.52</w:t>
      </w:r>
      <w:r>
        <w:rPr>
          <w:rFonts w:ascii="仿宋_GB2312" w:eastAsia="仿宋_GB2312" w:hAnsi="仿宋_GB2312" w:cs="仿宋_GB2312" w:hint="eastAsia"/>
          <w:sz w:val="32"/>
          <w:szCs w:val="32"/>
        </w:rPr>
        <w:t>%。</w:t>
      </w:r>
    </w:p>
    <w:p>
      <w:pPr>
        <w:pStyle w:val="BodyText"/>
        <w:keepNext w:val="0"/>
        <w:keepLines w:val="0"/>
        <w:pageBreakBefore w:val="0"/>
        <w:widowControl w:val="0"/>
        <w:kinsoku/>
        <w:wordWrap/>
        <w:topLinePunct w:val="0"/>
        <w:autoSpaceDE/>
        <w:autoSpaceDN/>
        <w:bidi w:val="0"/>
        <w:spacing w:after="0" w:line="580"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本部门2021年度“三公”经费支出共计</w:t>
      </w:r>
      <w:r>
        <w:rPr>
          <w:rFonts w:ascii="仿宋_GB2312" w:eastAsia="仿宋_GB2312" w:hAnsi="仿宋_GB2312" w:cs="仿宋_GB2312" w:hint="eastAsia"/>
          <w:sz w:val="32"/>
          <w:szCs w:val="32"/>
          <w:lang w:val="en-US" w:eastAsia="zh-CN"/>
        </w:rPr>
        <w:t>44.21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lang w:eastAsia="zh-CN"/>
        </w:rPr>
        <w:t>其中公务用车运行维护费</w:t>
      </w:r>
      <w:r>
        <w:rPr>
          <w:rFonts w:ascii="仿宋_GB2312" w:eastAsia="仿宋_GB2312" w:hAnsi="仿宋_GB2312" w:cs="仿宋_GB2312" w:hint="eastAsia"/>
          <w:sz w:val="32"/>
          <w:szCs w:val="32"/>
          <w:lang w:val="en-US" w:eastAsia="zh-CN"/>
        </w:rPr>
        <w:t>20.95万元，公务接待费23.26万元。</w:t>
      </w:r>
      <w:r>
        <w:rPr>
          <w:rFonts w:ascii="仿宋_GB2312" w:eastAsia="仿宋_GB2312" w:hAnsi="仿宋_GB2312" w:cs="仿宋_GB2312" w:hint="eastAsia"/>
          <w:sz w:val="32"/>
          <w:szCs w:val="32"/>
        </w:rPr>
        <w:t>本部门2021年度政府采购支出总额</w:t>
      </w:r>
      <w:r>
        <w:rPr>
          <w:rFonts w:ascii="仿宋_GB2312" w:eastAsia="仿宋_GB2312" w:hAnsi="仿宋_GB2312" w:cs="仿宋_GB2312" w:hint="eastAsia"/>
          <w:sz w:val="32"/>
          <w:szCs w:val="32"/>
          <w:lang w:val="en-US" w:eastAsia="zh-CN"/>
        </w:rPr>
        <w:t>4.05</w:t>
      </w:r>
      <w:r>
        <w:rPr>
          <w:rFonts w:ascii="仿宋_GB2312" w:eastAsia="仿宋_GB2312" w:hAnsi="仿宋_GB2312" w:cs="仿宋_GB2312" w:hint="eastAsia"/>
          <w:sz w:val="32"/>
          <w:szCs w:val="32"/>
        </w:rPr>
        <w:t>万元。</w:t>
      </w:r>
    </w:p>
    <w:p>
      <w:pPr>
        <w:keepNext w:val="0"/>
        <w:keepLines w:val="0"/>
        <w:pageBreakBefore w:val="0"/>
        <w:widowControl w:val="0"/>
        <w:numPr>
          <w:numId w:val="0"/>
        </w:numPr>
        <w:kinsoku/>
        <w:wordWrap/>
        <w:topLinePunct w:val="0"/>
        <w:autoSpaceDE/>
        <w:autoSpaceDN/>
        <w:bidi w:val="0"/>
        <w:adjustRightInd w:val="0"/>
        <w:snapToGrid w:val="0"/>
        <w:spacing w:line="580" w:lineRule="exact"/>
        <w:ind w:left="420" w:leftChars="200"/>
        <w:textAlignment w:val="auto"/>
        <w:rPr>
          <w:rFonts w:ascii="楷体_GB2312" w:eastAsia="楷体_GB2312" w:hAnsi="楷体_GB2312" w:cs="楷体_GB2312" w:hint="eastAsia"/>
          <w:b/>
          <w:bCs/>
          <w:kern w:val="0"/>
          <w:sz w:val="32"/>
          <w:szCs w:val="32"/>
          <w:lang w:val="en-US" w:eastAsia="zh-CN" w:bidi="ar-SA"/>
        </w:rPr>
      </w:pPr>
      <w:r>
        <w:rPr>
          <w:rFonts w:ascii="楷体_GB2312" w:eastAsia="楷体_GB2312" w:hAnsi="楷体_GB2312" w:cs="楷体_GB2312" w:hint="eastAsia"/>
          <w:b/>
          <w:bCs/>
          <w:kern w:val="0"/>
          <w:sz w:val="32"/>
          <w:szCs w:val="32"/>
          <w:lang w:val="en-US" w:eastAsia="zh-CN" w:bidi="ar-SA"/>
        </w:rPr>
        <w:t>（四）主要履职情况。</w:t>
      </w:r>
    </w:p>
    <w:p>
      <w:pPr>
        <w:keepNext w:val="0"/>
        <w:keepLines w:val="0"/>
        <w:pageBreakBefore w:val="0"/>
        <w:widowControl w:val="0"/>
        <w:numPr>
          <w:ilvl w:val="0"/>
          <w:numId w:val="0"/>
        </w:numPr>
        <w:kinsoku/>
        <w:wordWrap/>
        <w:topLinePunct w:val="0"/>
        <w:autoSpaceDE/>
        <w:autoSpaceDN/>
        <w:bidi w:val="0"/>
        <w:adjustRightInd w:val="0"/>
        <w:snapToGrid w:val="0"/>
        <w:spacing w:line="580" w:lineRule="exact"/>
        <w:ind w:left="420" w:leftChars="200"/>
        <w:textAlignment w:val="auto"/>
        <w:rPr>
          <w:rFonts w:ascii="仿宋_GB2312" w:eastAsia="仿宋_GB2312" w:hAnsi="仿宋_GB2312" w:cs="仿宋_GB2312" w:hint="eastAsia"/>
          <w:kern w:val="0"/>
          <w:sz w:val="32"/>
          <w:szCs w:val="32"/>
          <w:lang w:val="en-US" w:eastAsia="zh-CN"/>
        </w:rPr>
      </w:pPr>
      <w:r>
        <w:rPr>
          <w:rFonts w:ascii="仿宋_GB2312" w:eastAsia="仿宋_GB2312" w:hAnsi="仿宋_GB2312" w:cs="仿宋_GB2312" w:hint="eastAsia"/>
          <w:kern w:val="0"/>
          <w:sz w:val="32"/>
          <w:szCs w:val="32"/>
          <w:lang w:val="en-US" w:eastAsia="zh-CN"/>
        </w:rPr>
        <w:t>1、主要工作完成情况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hAnsi="宋体" w:hint="eastAsia"/>
          <w:spacing w:val="0"/>
          <w:sz w:val="32"/>
          <w:szCs w:val="32"/>
          <w:lang w:eastAsia="zh-CN"/>
        </w:rPr>
      </w:pPr>
      <w:r>
        <w:rPr>
          <w:rFonts w:ascii="仿宋_GB2312" w:eastAsia="仿宋_GB2312" w:hAnsi="宋体" w:hint="eastAsia"/>
          <w:spacing w:val="0"/>
          <w:sz w:val="32"/>
          <w:szCs w:val="32"/>
          <w:lang w:val="en-US" w:eastAsia="zh-CN"/>
        </w:rPr>
        <w:t>2021年</w:t>
      </w:r>
      <w:r>
        <w:rPr>
          <w:rFonts w:ascii="仿宋_GB2312" w:eastAsia="仿宋_GB2312" w:hAnsi="宋体" w:hint="eastAsia"/>
          <w:spacing w:val="0"/>
          <w:sz w:val="32"/>
          <w:szCs w:val="32"/>
          <w:lang w:eastAsia="zh-CN"/>
        </w:rPr>
        <w:t>，宽城县纪委监委在市纪委监委和县委</w:t>
      </w:r>
      <w:r>
        <w:rPr>
          <w:rFonts w:ascii="仿宋_GB2312" w:eastAsia="仿宋_GB2312" w:hAnsi="宋体" w:hint="eastAsia"/>
          <w:spacing w:val="0"/>
          <w:sz w:val="32"/>
          <w:szCs w:val="32"/>
        </w:rPr>
        <w:t>的坚强领导下，坚持以习近平新时代中国特色社会主义思想</w:t>
      </w:r>
      <w:r>
        <w:rPr>
          <w:rFonts w:ascii="仿宋_GB2312" w:eastAsia="仿宋_GB2312" w:hAnsi="宋体" w:hint="eastAsia"/>
          <w:spacing w:val="0"/>
          <w:sz w:val="32"/>
          <w:szCs w:val="32"/>
          <w:lang w:eastAsia="zh-CN"/>
        </w:rPr>
        <w:t>为指导，严肃监督执纪问责，有效发挥监督保障执行、促进完善发展作用，全力推动我县纪检监察工作高质量发展，各项工作</w:t>
      </w:r>
      <w:r>
        <w:rPr>
          <w:rFonts w:ascii="仿宋_GB2312" w:eastAsia="仿宋_GB2312" w:hAnsi="宋体" w:hint="eastAsia"/>
          <w:spacing w:val="0"/>
          <w:sz w:val="32"/>
          <w:szCs w:val="32"/>
        </w:rPr>
        <w:t>取得了</w:t>
      </w:r>
      <w:r>
        <w:rPr>
          <w:rFonts w:ascii="仿宋_GB2312" w:eastAsia="仿宋_GB2312" w:hAnsi="宋体" w:hint="eastAsia"/>
          <w:spacing w:val="0"/>
          <w:sz w:val="32"/>
          <w:szCs w:val="32"/>
          <w:lang w:eastAsia="zh-CN"/>
        </w:rPr>
        <w:t>显著</w:t>
      </w:r>
      <w:r>
        <w:rPr>
          <w:rFonts w:ascii="仿宋_GB2312" w:eastAsia="仿宋_GB2312" w:hAnsi="宋体" w:hint="eastAsia"/>
          <w:spacing w:val="0"/>
          <w:sz w:val="32"/>
          <w:szCs w:val="32"/>
        </w:rPr>
        <w:t>成效</w:t>
      </w:r>
      <w:r>
        <w:rPr>
          <w:rFonts w:ascii="仿宋_GB2312" w:eastAsia="仿宋_GB2312" w:hAnsi="宋体" w:hint="eastAsia"/>
          <w:spacing w:val="0"/>
          <w:sz w:val="32"/>
          <w:szCs w:val="32"/>
          <w:lang w:eastAsia="zh-CN"/>
        </w:rPr>
        <w:t>。</w:t>
      </w:r>
    </w:p>
    <w:p>
      <w:pPr>
        <w:pStyle w:val="BodyText"/>
        <w:keepNext w:val="0"/>
        <w:keepLines w:val="0"/>
        <w:pageBreakBefore w:val="0"/>
        <w:widowControl w:val="0"/>
        <w:numPr>
          <w:ilvl w:val="0"/>
          <w:numId w:val="0"/>
        </w:numPr>
        <w:kinsoku/>
        <w:wordWrap/>
        <w:topLinePunct w:val="0"/>
        <w:autoSpaceDE/>
        <w:autoSpaceDN/>
        <w:bidi w:val="0"/>
        <w:spacing w:after="0" w:line="580" w:lineRule="exact"/>
        <w:ind w:firstLine="640" w:firstLineChars="200"/>
        <w:textAlignment w:val="auto"/>
        <w:rPr>
          <w:rFonts w:ascii="仿宋_GB2312" w:eastAsia="仿宋_GB2312" w:hAnsi="宋体" w:cstheme="minorBidi" w:hint="eastAsia"/>
          <w:spacing w:val="0"/>
          <w:kern w:val="2"/>
          <w:sz w:val="32"/>
          <w:szCs w:val="32"/>
          <w:lang w:val="en-US" w:eastAsia="zh-CN" w:bidi="ar-SA"/>
        </w:rPr>
      </w:pPr>
      <w:r>
        <w:rPr>
          <w:rFonts w:ascii="仿宋_GB2312" w:eastAsia="仿宋_GB2312" w:hAnsi="宋体" w:cstheme="minorBidi" w:hint="eastAsia"/>
          <w:spacing w:val="0"/>
          <w:kern w:val="2"/>
          <w:sz w:val="32"/>
          <w:szCs w:val="32"/>
          <w:lang w:val="en-US" w:eastAsia="zh-CN" w:bidi="ar-SA"/>
        </w:rPr>
        <w:t>（1）</w:t>
      </w:r>
      <w:r>
        <w:rPr>
          <w:rFonts w:ascii="仿宋_GB2312" w:eastAsia="仿宋_GB2312" w:hAnsi="宋体" w:cstheme="minorBidi" w:hint="eastAsia"/>
          <w:spacing w:val="0"/>
          <w:kern w:val="2"/>
          <w:sz w:val="32"/>
          <w:szCs w:val="32"/>
          <w:lang w:val="en-US" w:bidi="ar-SA"/>
        </w:rPr>
        <w:t>持之以恒学习贯彻习近平新时代中国特色社会主义思想，强化“两个维护”的政治自觉</w:t>
      </w:r>
      <w:r>
        <w:rPr>
          <w:rFonts w:ascii="仿宋_GB2312" w:eastAsia="仿宋_GB2312" w:hAnsi="宋体" w:cstheme="minorBidi" w:hint="eastAsia"/>
          <w:spacing w:val="0"/>
          <w:kern w:val="2"/>
          <w:sz w:val="32"/>
          <w:szCs w:val="32"/>
          <w:lang w:val="en-US" w:eastAsia="zh-CN" w:bidi="ar-SA"/>
        </w:rPr>
        <w:t>。</w:t>
      </w:r>
      <w:r>
        <w:rPr>
          <w:rFonts w:ascii="仿宋_GB2312" w:eastAsia="仿宋_GB2312" w:hAnsi="仿宋_GB2312" w:cs="仿宋_GB2312" w:hint="eastAsia"/>
          <w:b w:val="0"/>
          <w:bCs w:val="0"/>
          <w:spacing w:val="0"/>
          <w:kern w:val="0"/>
          <w:sz w:val="32"/>
          <w:szCs w:val="32"/>
          <w:lang w:val="en-US" w:eastAsia="zh-CN"/>
        </w:rPr>
        <w:t>一是</w:t>
      </w:r>
      <w:r>
        <w:rPr>
          <w:rFonts w:ascii="仿宋_GB2312" w:eastAsia="仿宋_GB2312" w:hAnsi="仿宋_GB2312" w:cs="仿宋_GB2312" w:hint="eastAsia"/>
          <w:b w:val="0"/>
          <w:bCs w:val="0"/>
          <w:spacing w:val="0"/>
          <w:kern w:val="0"/>
          <w:sz w:val="32"/>
          <w:szCs w:val="32"/>
          <w:lang w:eastAsia="zh-CN"/>
        </w:rPr>
        <w:t>持续强化理论武装。</w:t>
      </w:r>
      <w:r>
        <w:rPr>
          <w:rFonts w:ascii="仿宋_GB2312" w:eastAsia="仿宋_GB2312" w:hAnsi="仿宋_GB2312" w:cs="仿宋_GB2312" w:hint="eastAsia"/>
          <w:b w:val="0"/>
          <w:bCs w:val="0"/>
          <w:spacing w:val="0"/>
          <w:kern w:val="2"/>
          <w:sz w:val="32"/>
          <w:szCs w:val="32"/>
          <w:lang w:val="en-US" w:eastAsia="zh-CN" w:bidi="ar-SA"/>
        </w:rPr>
        <w:t>贯通学习《习近平谈治国理政》第三卷和第一</w:t>
      </w:r>
      <w:r>
        <w:rPr>
          <w:rFonts w:ascii="仿宋_GB2312" w:eastAsia="仿宋_GB2312" w:hAnsi="宋体" w:cstheme="minorBidi" w:hint="eastAsia"/>
          <w:spacing w:val="0"/>
          <w:kern w:val="2"/>
          <w:sz w:val="32"/>
          <w:szCs w:val="32"/>
          <w:lang w:val="en-US" w:eastAsia="zh-CN" w:bidi="ar-SA"/>
        </w:rPr>
        <w:t>卷、第二卷，深入学习中央和省市纪委全会精神，全面系统学习习近平总书记指示批示及</w:t>
      </w:r>
      <w:r>
        <w:rPr>
          <w:rFonts w:ascii="仿宋_GB2312" w:eastAsia="仿宋_GB2312" w:hAnsi="宋体" w:cstheme="minorBidi" w:hint="eastAsia"/>
          <w:spacing w:val="0"/>
          <w:kern w:val="2"/>
          <w:sz w:val="32"/>
          <w:szCs w:val="32"/>
          <w:lang w:val="en-US" w:bidi="ar-SA"/>
        </w:rPr>
        <w:t>视察承德</w:t>
      </w:r>
      <w:r>
        <w:rPr>
          <w:rFonts w:ascii="仿宋_GB2312" w:eastAsia="仿宋_GB2312" w:hAnsi="宋体" w:cstheme="minorBidi" w:hint="eastAsia"/>
          <w:spacing w:val="0"/>
          <w:kern w:val="2"/>
          <w:sz w:val="32"/>
          <w:szCs w:val="32"/>
          <w:lang w:val="en-US" w:eastAsia="zh-CN" w:bidi="ar-SA"/>
        </w:rPr>
        <w:t>讲话精神，扎实开展党史学习教育和“四史”宣传教育。组织理论学习中心组学习研讨11次、研讨3次；组织全体干部集中学习18期；组织2批次110余人到李大钊纪念馆、热河革命烈士纪念馆、爱国主义教育基地王厂沟等革命圣地进行党性教育，强根固本，筑牢理想信念之基。二是扎实开展政治监督。坚持把党中央重大决策部署、省市县</w:t>
      </w:r>
      <w:r>
        <w:rPr>
          <w:rFonts w:ascii="仿宋_GB2312" w:eastAsia="仿宋_GB2312" w:hAnsi="宋体" w:cstheme="minorBidi" w:hint="eastAsia"/>
          <w:spacing w:val="0"/>
          <w:kern w:val="2"/>
          <w:sz w:val="32"/>
          <w:szCs w:val="32"/>
          <w:lang w:val="en-US" w:eastAsia="zh-CN" w:bidi="ar-SA"/>
        </w:rPr>
        <w:t>委重要要求和习近平总书记重要指示批示精神落实情况作为政治监督首要任务，开展全面监督、精准监督。围绕常态化疫情防控、重点人群核酸检测、疫苗接种等工作开展跟进式监督检查，检查点位1793个，下发工作提示函17个，发现推动解决问题81个。围绕县委“守底线、快转型、再创业、惠民生”12字方针落实情况加强监督，确保“十四五”顺利开局。</w:t>
      </w:r>
    </w:p>
    <w:p>
      <w:pPr>
        <w:pStyle w:val="a"/>
        <w:keepNext w:val="0"/>
        <w:keepLines w:val="0"/>
        <w:pageBreakBefore w:val="0"/>
        <w:widowControl w:val="0"/>
        <w:numPr>
          <w:ilvl w:val="0"/>
          <w:numId w:val="0"/>
        </w:numPr>
        <w:kinsoku/>
        <w:wordWrap/>
        <w:topLinePunct w:val="0"/>
        <w:autoSpaceDE/>
        <w:autoSpaceDN/>
        <w:bidi w:val="0"/>
        <w:spacing w:before="0" w:after="0" w:line="580" w:lineRule="exact"/>
        <w:ind w:firstLine="640" w:firstLineChars="200"/>
        <w:jc w:val="both"/>
        <w:textAlignment w:val="auto"/>
        <w:rPr>
          <w:rFonts w:ascii="黑体" w:eastAsia="黑体" w:hAnsi="黑体" w:cs="黑体" w:hint="default"/>
          <w:b w:val="0"/>
          <w:bCs w:val="0"/>
          <w:spacing w:val="0"/>
          <w:kern w:val="2"/>
          <w:sz w:val="32"/>
          <w:szCs w:val="32"/>
          <w:lang w:val="en-US" w:eastAsia="zh-CN"/>
        </w:rPr>
      </w:pPr>
      <w:r>
        <w:rPr>
          <w:rFonts w:ascii="仿宋_GB2312" w:eastAsia="仿宋_GB2312" w:hAnsi="宋体" w:cstheme="minorBidi" w:hint="eastAsia"/>
          <w:b w:val="0"/>
          <w:bCs w:val="0"/>
          <w:spacing w:val="0"/>
          <w:kern w:val="2"/>
          <w:sz w:val="32"/>
          <w:szCs w:val="32"/>
          <w:lang w:val="en-US" w:eastAsia="zh-CN" w:bidi="ar-SA"/>
        </w:rPr>
        <w:t>（2）认真履行</w:t>
      </w:r>
      <w:r>
        <w:rPr>
          <w:rFonts w:ascii="仿宋_GB2312" w:eastAsia="仿宋_GB2312" w:hAnsi="宋体" w:cstheme="minorBidi" w:hint="eastAsia"/>
          <w:b w:val="0"/>
          <w:bCs w:val="0"/>
          <w:spacing w:val="0"/>
          <w:kern w:val="2"/>
          <w:sz w:val="32"/>
          <w:szCs w:val="32"/>
          <w:lang w:val="en-US" w:bidi="ar-SA"/>
        </w:rPr>
        <w:t>监督首责，监督精准性有效性大幅提高。</w:t>
      </w:r>
      <w:r>
        <w:rPr>
          <w:rFonts w:ascii="仿宋_GB2312" w:eastAsia="仿宋_GB2312" w:hAnsi="宋体" w:cstheme="minorBidi" w:hint="eastAsia"/>
          <w:b w:val="0"/>
          <w:bCs w:val="0"/>
          <w:spacing w:val="0"/>
          <w:kern w:val="2"/>
          <w:sz w:val="32"/>
          <w:szCs w:val="32"/>
          <w:lang w:val="en-US" w:eastAsia="zh-CN" w:bidi="ar-SA"/>
        </w:rPr>
        <w:t>推动“两个责任”协同贯通。坚持</w:t>
      </w:r>
      <w:r>
        <w:rPr>
          <w:rFonts w:ascii="仿宋_GB2312" w:eastAsia="仿宋_GB2312" w:hAnsi="宋体" w:hint="eastAsia"/>
          <w:b w:val="0"/>
          <w:bCs w:val="0"/>
          <w:spacing w:val="0"/>
          <w:sz w:val="32"/>
          <w:szCs w:val="32"/>
          <w:lang w:eastAsia="zh-CN"/>
        </w:rPr>
        <w:t>以“两个责任”为抓手，积极主动作为。协助党委（党组）认真贯彻落实主体责任，推动党委主体责任和纪委监督责任同向发力、共同促进。探索制定《关于加强纪委监督同级党委的实施意见》，强化纪委同级监督作用，提升同级监督实效。</w:t>
      </w:r>
      <w:r>
        <w:rPr>
          <w:rFonts w:ascii="楷体_GB2312" w:eastAsia="楷体_GB2312" w:hAnsi="楷体_GB2312" w:cs="楷体_GB2312" w:hint="eastAsia"/>
          <w:b w:val="0"/>
          <w:bCs w:val="0"/>
          <w:spacing w:val="0"/>
          <w:sz w:val="32"/>
          <w:szCs w:val="32"/>
        </w:rPr>
        <w:t>做实做细日常监督</w:t>
      </w:r>
      <w:r>
        <w:rPr>
          <w:rFonts w:ascii="楷体_GB2312" w:eastAsia="楷体_GB2312" w:hAnsi="楷体_GB2312" w:cs="楷体_GB2312" w:hint="eastAsia"/>
          <w:b w:val="0"/>
          <w:bCs w:val="0"/>
          <w:spacing w:val="0"/>
          <w:sz w:val="32"/>
          <w:szCs w:val="32"/>
          <w:lang w:eastAsia="zh-CN"/>
        </w:rPr>
        <w:t>。</w:t>
      </w:r>
      <w:r>
        <w:rPr>
          <w:rFonts w:ascii="仿宋_GB2312" w:eastAsia="仿宋_GB2312" w:hAnsi="宋体" w:hint="eastAsia"/>
          <w:b w:val="0"/>
          <w:bCs w:val="0"/>
          <w:spacing w:val="0"/>
          <w:sz w:val="32"/>
          <w:szCs w:val="32"/>
          <w:lang w:eastAsia="zh-CN"/>
        </w:rPr>
        <w:t>坚持把纪律和规矩挺在前面，创新完善“1+2+N”监督工作模式，对责任落实、关键少数、重大事项、重要决策、重点环节等进行“常态化”监督检查。将会议监督、大数据监督、建立廉政档案、舆情处置、专项治理、述责述廉、谈心谈话、检查质询、专项考核、日常调度、分析评估、沟通研商、情况通报、调研指导、批评教育等15种方法进行“打包”组合、统筹运用，有效提升日常监督实效。</w:t>
      </w:r>
    </w:p>
    <w:p>
      <w:pPr>
        <w:pStyle w:val="a"/>
        <w:keepNext w:val="0"/>
        <w:keepLines w:val="0"/>
        <w:pageBreakBefore w:val="0"/>
        <w:widowControl w:val="0"/>
        <w:numPr>
          <w:ilvl w:val="0"/>
          <w:numId w:val="0"/>
        </w:numPr>
        <w:kinsoku/>
        <w:wordWrap/>
        <w:topLinePunct w:val="0"/>
        <w:autoSpaceDE/>
        <w:autoSpaceDN/>
        <w:bidi w:val="0"/>
        <w:spacing w:before="0" w:after="0" w:line="580" w:lineRule="exact"/>
        <w:ind w:firstLine="640" w:firstLineChars="200"/>
        <w:jc w:val="both"/>
        <w:textAlignment w:val="auto"/>
        <w:rPr>
          <w:rFonts w:ascii="仿宋_GB2312" w:eastAsia="仿宋_GB2312" w:hAnsi="仿宋_GB2312" w:cs="仿宋_GB2312" w:hint="eastAsia"/>
          <w:b w:val="0"/>
          <w:bCs w:val="0"/>
          <w:spacing w:val="0"/>
          <w:sz w:val="32"/>
          <w:szCs w:val="32"/>
          <w:lang w:eastAsia="zh-CN"/>
        </w:rPr>
      </w:pPr>
      <w:r>
        <w:rPr>
          <w:rFonts w:ascii="仿宋_GB2312" w:eastAsia="仿宋_GB2312" w:hAnsi="宋体" w:hint="eastAsia"/>
          <w:b w:val="0"/>
          <w:bCs w:val="0"/>
          <w:spacing w:val="0"/>
          <w:sz w:val="32"/>
          <w:szCs w:val="32"/>
          <w:lang w:eastAsia="zh-CN"/>
        </w:rPr>
        <w:t>（</w:t>
      </w:r>
      <w:r>
        <w:rPr>
          <w:rFonts w:ascii="仿宋_GB2312" w:eastAsia="仿宋_GB2312" w:hAnsi="宋体" w:hint="eastAsia"/>
          <w:b w:val="0"/>
          <w:bCs w:val="0"/>
          <w:spacing w:val="0"/>
          <w:sz w:val="32"/>
          <w:szCs w:val="32"/>
          <w:lang w:val="en-US" w:eastAsia="zh-CN"/>
        </w:rPr>
        <w:t>3</w:t>
      </w:r>
      <w:r>
        <w:rPr>
          <w:rFonts w:ascii="仿宋_GB2312" w:eastAsia="仿宋_GB2312" w:hAnsi="宋体" w:hint="eastAsia"/>
          <w:b w:val="0"/>
          <w:bCs w:val="0"/>
          <w:spacing w:val="0"/>
          <w:sz w:val="32"/>
          <w:szCs w:val="32"/>
          <w:lang w:eastAsia="zh-CN"/>
        </w:rPr>
        <w:t>）</w:t>
      </w:r>
      <w:r>
        <w:rPr>
          <w:rFonts w:ascii="仿宋_GB2312" w:eastAsia="仿宋_GB2312" w:hAnsi="宋体" w:hint="eastAsia"/>
          <w:b w:val="0"/>
          <w:bCs w:val="0"/>
          <w:spacing w:val="0"/>
          <w:sz w:val="32"/>
          <w:szCs w:val="32"/>
        </w:rPr>
        <w:t>驰而不息落实中央八项规定精神，不断涵养求真务实、清正廉洁的新风正气。</w:t>
      </w:r>
      <w:r>
        <w:rPr>
          <w:rFonts w:ascii="仿宋_GB2312" w:eastAsia="仿宋_GB2312" w:hAnsi="宋体" w:hint="eastAsia"/>
          <w:b w:val="0"/>
          <w:bCs w:val="0"/>
          <w:spacing w:val="0"/>
          <w:sz w:val="32"/>
          <w:szCs w:val="32"/>
          <w:lang w:eastAsia="zh-CN"/>
        </w:rPr>
        <w:t>始终坚持纠“四风”和树新风并举，持续释放从严信号，</w:t>
      </w:r>
      <w:r>
        <w:rPr>
          <w:rFonts w:ascii="仿宋_GB2312" w:eastAsia="仿宋_GB2312" w:hAnsi="宋体" w:hint="eastAsia"/>
          <w:b w:val="0"/>
          <w:bCs w:val="0"/>
          <w:spacing w:val="0"/>
          <w:sz w:val="32"/>
          <w:szCs w:val="32"/>
        </w:rPr>
        <w:t>巩固作风建设成果</w:t>
      </w:r>
      <w:r>
        <w:rPr>
          <w:rFonts w:ascii="仿宋_GB2312" w:eastAsia="仿宋_GB2312" w:hAnsi="仿宋_GB2312" w:cs="仿宋_GB2312" w:hint="eastAsia"/>
          <w:b w:val="0"/>
          <w:bCs w:val="0"/>
          <w:spacing w:val="0"/>
          <w:sz w:val="32"/>
          <w:szCs w:val="32"/>
          <w:lang w:eastAsia="zh-CN"/>
        </w:rPr>
        <w:t>。力戒</w:t>
      </w:r>
      <w:r>
        <w:rPr>
          <w:rFonts w:ascii="仿宋_GB2312" w:eastAsia="仿宋_GB2312" w:hAnsi="仿宋_GB2312" w:cs="仿宋_GB2312" w:hint="eastAsia"/>
          <w:b w:val="0"/>
          <w:bCs w:val="0"/>
          <w:spacing w:val="0"/>
          <w:sz w:val="32"/>
          <w:szCs w:val="32"/>
        </w:rPr>
        <w:t>形式主义、官僚主义</w:t>
      </w:r>
      <w:r>
        <w:rPr>
          <w:rFonts w:ascii="仿宋_GB2312" w:eastAsia="仿宋_GB2312" w:hAnsi="仿宋_GB2312" w:cs="仿宋_GB2312" w:hint="eastAsia"/>
          <w:b w:val="0"/>
          <w:bCs w:val="0"/>
          <w:spacing w:val="0"/>
          <w:sz w:val="32"/>
          <w:szCs w:val="32"/>
          <w:lang w:eastAsia="zh-CN"/>
        </w:rPr>
        <w:t>。严查对贯彻党中央决策部署做选择、搞变通、打折扣，特别是搞“包装式”落实、“一刀切式”落实等形式主义、官僚主义突出问题。弘扬廉洁文化涵养廉洁风尚。开展家风家教家训教育，组织新任领导干部携同家属共同观看警示教育片，引导党员干部启迪思想、净化心灵。组织开展“</w:t>
      </w:r>
      <w:r>
        <w:rPr>
          <w:rFonts w:ascii="仿宋_GB2312" w:eastAsia="仿宋_GB2312" w:hAnsi="仿宋_GB2312" w:cs="仿宋_GB2312" w:hint="eastAsia"/>
          <w:b w:val="0"/>
          <w:bCs w:val="0"/>
          <w:spacing w:val="0"/>
          <w:sz w:val="32"/>
          <w:szCs w:val="32"/>
          <w:lang w:val="en-US" w:eastAsia="zh-CN"/>
        </w:rPr>
        <w:t>党风廉政宣传教育月”和“学党史·颂廉洁·传家风”廉政文化作品展，征集书法、绘画作品146副、文学作品32篇、影音作品12个，</w:t>
      </w:r>
      <w:r>
        <w:rPr>
          <w:rFonts w:ascii="仿宋_GB2312" w:eastAsia="仿宋_GB2312" w:hAnsi="仿宋_GB2312" w:cs="仿宋_GB2312" w:hint="eastAsia"/>
          <w:b w:val="0"/>
          <w:bCs w:val="0"/>
          <w:spacing w:val="0"/>
          <w:sz w:val="32"/>
          <w:szCs w:val="32"/>
          <w:lang w:eastAsia="zh-CN"/>
        </w:rPr>
        <w:t>宣讲廉政党课</w:t>
      </w:r>
      <w:r>
        <w:rPr>
          <w:rFonts w:ascii="仿宋_GB2312" w:eastAsia="仿宋_GB2312" w:hAnsi="仿宋_GB2312" w:cs="仿宋_GB2312" w:hint="eastAsia"/>
          <w:b w:val="0"/>
          <w:bCs w:val="0"/>
          <w:spacing w:val="0"/>
          <w:sz w:val="32"/>
          <w:szCs w:val="32"/>
          <w:lang w:val="en-US" w:eastAsia="zh-CN"/>
        </w:rPr>
        <w:t>7</w:t>
      </w:r>
      <w:r>
        <w:rPr>
          <w:rFonts w:ascii="仿宋_GB2312" w:eastAsia="仿宋_GB2312" w:hAnsi="仿宋_GB2312" w:cs="仿宋_GB2312" w:hint="eastAsia"/>
          <w:b w:val="0"/>
          <w:bCs w:val="0"/>
          <w:spacing w:val="0"/>
          <w:sz w:val="32"/>
          <w:szCs w:val="32"/>
          <w:lang w:eastAsia="zh-CN"/>
        </w:rPr>
        <w:t>次，微信公众平台发布廉政消息</w:t>
      </w:r>
      <w:r>
        <w:rPr>
          <w:rFonts w:ascii="仿宋_GB2312" w:eastAsia="仿宋_GB2312" w:hAnsi="仿宋_GB2312" w:cs="仿宋_GB2312" w:hint="eastAsia"/>
          <w:b w:val="0"/>
          <w:bCs w:val="0"/>
          <w:spacing w:val="0"/>
          <w:sz w:val="32"/>
          <w:szCs w:val="32"/>
          <w:lang w:val="en-US" w:eastAsia="zh-CN"/>
        </w:rPr>
        <w:t>46</w:t>
      </w:r>
      <w:r>
        <w:rPr>
          <w:rFonts w:ascii="仿宋_GB2312" w:eastAsia="仿宋_GB2312" w:hAnsi="仿宋_GB2312" w:cs="仿宋_GB2312" w:hint="eastAsia"/>
          <w:b w:val="0"/>
          <w:bCs w:val="0"/>
          <w:spacing w:val="0"/>
          <w:sz w:val="32"/>
          <w:szCs w:val="32"/>
          <w:lang w:eastAsia="zh-CN"/>
        </w:rPr>
        <w:t>组</w:t>
      </w:r>
      <w:r>
        <w:rPr>
          <w:rFonts w:ascii="仿宋_GB2312" w:eastAsia="仿宋_GB2312" w:hAnsi="仿宋_GB2312" w:cs="仿宋_GB2312" w:hint="eastAsia"/>
          <w:b w:val="0"/>
          <w:bCs w:val="0"/>
          <w:spacing w:val="0"/>
          <w:sz w:val="32"/>
          <w:szCs w:val="32"/>
          <w:lang w:val="en-US" w:eastAsia="zh-CN"/>
        </w:rPr>
        <w:t>173</w:t>
      </w:r>
      <w:r>
        <w:rPr>
          <w:rFonts w:ascii="仿宋_GB2312" w:eastAsia="仿宋_GB2312" w:hAnsi="仿宋_GB2312" w:cs="仿宋_GB2312" w:hint="eastAsia"/>
          <w:b w:val="0"/>
          <w:bCs w:val="0"/>
          <w:spacing w:val="0"/>
          <w:sz w:val="32"/>
          <w:szCs w:val="32"/>
          <w:lang w:eastAsia="zh-CN"/>
        </w:rPr>
        <w:t>条，弘扬正风肃纪反腐正能量。</w:t>
      </w:r>
    </w:p>
    <w:p>
      <w:pPr>
        <w:pStyle w:val="BodyText"/>
        <w:keepNext w:val="0"/>
        <w:keepLines w:val="0"/>
        <w:pageBreakBefore w:val="0"/>
        <w:widowControl w:val="0"/>
        <w:kinsoku/>
        <w:wordWrap/>
        <w:topLinePunct w:val="0"/>
        <w:autoSpaceDE/>
        <w:autoSpaceDN/>
        <w:bidi w:val="0"/>
        <w:spacing w:after="0" w:line="580" w:lineRule="exact"/>
        <w:ind w:firstLine="640" w:firstLineChars="200"/>
        <w:textAlignment w:val="auto"/>
        <w:rPr>
          <w:rFonts w:ascii="仿宋_GB2312" w:eastAsia="仿宋_GB2312" w:hAnsi="宋体" w:hint="eastAsia"/>
          <w:spacing w:val="0"/>
          <w:sz w:val="32"/>
          <w:szCs w:val="32"/>
          <w:lang w:val="en-US" w:eastAsia="zh-CN"/>
        </w:rPr>
      </w:pPr>
      <w:r>
        <w:rPr>
          <w:rFonts w:ascii="仿宋_GB2312" w:eastAsia="仿宋_GB2312" w:hAnsi="仿宋_GB2312" w:cs="仿宋_GB2312" w:hint="eastAsia"/>
          <w:b w:val="0"/>
          <w:bCs w:val="0"/>
          <w:spacing w:val="0"/>
          <w:kern w:val="0"/>
          <w:sz w:val="32"/>
          <w:szCs w:val="32"/>
          <w:lang w:val="en-US" w:eastAsia="zh-CN" w:bidi="ar-SA"/>
        </w:rPr>
        <w:t>（4）扎实有序开展巡察监督，党内监督利剑作用有效发挥。始终坚持把</w:t>
      </w:r>
      <w:r>
        <w:rPr>
          <w:rFonts w:ascii="仿宋_GB2312" w:eastAsia="仿宋_GB2312" w:hAnsi="宋体" w:hint="eastAsia"/>
          <w:spacing w:val="0"/>
          <w:sz w:val="32"/>
          <w:szCs w:val="32"/>
          <w:lang w:eastAsia="zh-CN"/>
        </w:rPr>
        <w:t>政治巡察作为推动全面从严治党向纵深发展的重要举措，充分</w:t>
      </w:r>
      <w:r>
        <w:rPr>
          <w:rFonts w:ascii="仿宋_GB2312" w:eastAsia="仿宋_GB2312" w:hAnsi="宋体" w:hint="eastAsia"/>
          <w:spacing w:val="0"/>
          <w:sz w:val="32"/>
          <w:szCs w:val="32"/>
          <w:lang w:val="en-US" w:eastAsia="zh-CN"/>
        </w:rPr>
        <w:t>发挥党内监督利剑和密切联系群众纽带作用。</w:t>
      </w:r>
      <w:r>
        <w:rPr>
          <w:rFonts w:ascii="仿宋_GB2312" w:eastAsia="仿宋_GB2312" w:hAnsi="仿宋_GB2312" w:cs="仿宋_GB2312" w:hint="eastAsia"/>
          <w:b w:val="0"/>
          <w:bCs w:val="0"/>
          <w:color w:val="auto"/>
          <w:spacing w:val="0"/>
          <w:kern w:val="0"/>
          <w:sz w:val="32"/>
          <w:szCs w:val="32"/>
          <w:u w:val="none"/>
          <w:lang w:val="en-US" w:eastAsia="zh-CN"/>
        </w:rPr>
        <w:t>做实巡视巡察整改监督工作。</w:t>
      </w:r>
      <w:r>
        <w:rPr>
          <w:rFonts w:ascii="仿宋_GB2312" w:eastAsia="仿宋_GB2312" w:hAnsi="宋体" w:hint="eastAsia"/>
          <w:spacing w:val="0"/>
          <w:sz w:val="32"/>
          <w:szCs w:val="32"/>
          <w:lang w:val="en-US" w:eastAsia="zh-CN"/>
        </w:rPr>
        <w:t>坚持以巡促改、以巡促建、以巡促治，压实被巡察单位整改责任，推动整改落实。</w:t>
      </w:r>
      <w:r>
        <w:rPr>
          <w:rFonts w:ascii="仿宋_GB2312" w:eastAsia="仿宋_GB2312" w:hAnsi="仿宋_GB2312" w:cs="仿宋_GB2312" w:hint="eastAsia"/>
          <w:color w:val="000000"/>
          <w:sz w:val="32"/>
          <w:szCs w:val="32"/>
        </w:rPr>
        <w:t>实现巡察全覆盖，坚持发现问题与整改落实并重。</w:t>
      </w:r>
      <w:r>
        <w:rPr>
          <w:rFonts w:ascii="仿宋_GB2312" w:eastAsia="仿宋_GB2312" w:hAnsi="仿宋_GB2312" w:cs="仿宋_GB2312" w:hint="eastAsia"/>
          <w:bCs/>
          <w:sz w:val="32"/>
          <w:szCs w:val="32"/>
        </w:rPr>
        <w:t>坚持上下联动，持续推动全覆盖。在制定全县巡察规划时与市委巡察办先行沟通、有序衔接，做到市县巡察工作一体谋划、一体推进。做好</w:t>
      </w:r>
      <w:r>
        <w:rPr>
          <w:rFonts w:ascii="仿宋_GB2312" w:eastAsia="仿宋_GB2312" w:hAnsi="仿宋_GB2312" w:cs="仿宋_GB2312" w:hint="eastAsia"/>
          <w:bCs/>
          <w:sz w:val="32"/>
          <w:szCs w:val="32"/>
          <w:lang w:val="en-US" w:eastAsia="zh-CN"/>
        </w:rPr>
        <w:t xml:space="preserve"> </w:t>
      </w:r>
      <w:r>
        <w:rPr>
          <w:rFonts w:ascii="仿宋_GB2312" w:eastAsia="仿宋_GB2312" w:hAnsi="仿宋_GB2312" w:cs="仿宋_GB2312" w:hint="eastAsia"/>
          <w:bCs/>
          <w:sz w:val="32"/>
          <w:szCs w:val="32"/>
        </w:rPr>
        <w:t>“后半篇”文章，发挥叠加效应</w:t>
      </w:r>
      <w:r>
        <w:rPr>
          <w:rFonts w:ascii="仿宋_GB2312" w:eastAsia="仿宋_GB2312" w:hAnsi="仿宋_GB2312" w:cs="仿宋_GB2312" w:hint="eastAsia"/>
          <w:bCs/>
          <w:sz w:val="30"/>
          <w:szCs w:val="30"/>
        </w:rPr>
        <w:t>。</w:t>
      </w:r>
    </w:p>
    <w:p>
      <w:pPr>
        <w:pStyle w:val="BodyText"/>
        <w:keepNext w:val="0"/>
        <w:keepLines w:val="0"/>
        <w:pageBreakBefore w:val="0"/>
        <w:widowControl w:val="0"/>
        <w:kinsoku/>
        <w:wordWrap/>
        <w:topLinePunct w:val="0"/>
        <w:autoSpaceDE/>
        <w:autoSpaceDN/>
        <w:bidi w:val="0"/>
        <w:spacing w:after="0" w:line="580" w:lineRule="exact"/>
        <w:ind w:firstLine="640" w:firstLineChars="200"/>
        <w:textAlignment w:val="auto"/>
        <w:rPr>
          <w:rFonts w:hint="eastAsia"/>
          <w:lang w:eastAsia="zh-CN"/>
        </w:rPr>
      </w:pPr>
      <w:r>
        <w:rPr>
          <w:rFonts w:ascii="仿宋_GB2312" w:eastAsia="仿宋_GB2312" w:hAnsi="宋体" w:hint="eastAsia"/>
          <w:spacing w:val="0"/>
          <w:sz w:val="32"/>
          <w:szCs w:val="32"/>
          <w:lang w:val="en-US" w:eastAsia="zh-CN"/>
        </w:rPr>
        <w:t>2、预算管理情况</w:t>
      </w:r>
    </w:p>
    <w:p>
      <w:pPr>
        <w:pStyle w:val="a"/>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jc w:val="both"/>
        <w:textAlignment w:val="auto"/>
        <w:rPr>
          <w:rFonts w:ascii="黑体" w:eastAsia="黑体" w:hAnsi="黑体" w:cs="黑体" w:hint="default"/>
          <w:b w:val="0"/>
          <w:bCs w:val="0"/>
          <w:spacing w:val="0"/>
          <w:kern w:val="2"/>
          <w:sz w:val="32"/>
          <w:szCs w:val="32"/>
          <w:lang w:val="en-US" w:eastAsia="zh-CN"/>
        </w:rPr>
      </w:pPr>
      <w:r>
        <w:rPr>
          <w:rFonts w:ascii="仿宋_GB2312" w:eastAsia="仿宋_GB2312" w:hAnsi="宋体" w:hint="eastAsia"/>
          <w:b w:val="0"/>
          <w:bCs w:val="0"/>
          <w:spacing w:val="0"/>
          <w:sz w:val="32"/>
          <w:szCs w:val="32"/>
          <w:lang w:eastAsia="zh-CN"/>
        </w:rPr>
        <w:t>严格按照落实厉行节约和过“紧日子”的要求，提高财务资金使用绩效为目标，严格控制本单位三公经费支出，加强存量资金管理，</w:t>
      </w:r>
      <w:r>
        <w:rPr>
          <w:rFonts w:ascii="仿宋_GB2312" w:eastAsia="仿宋_GB2312" w:hAnsi="宋体" w:hint="eastAsia"/>
          <w:b w:val="0"/>
          <w:bCs w:val="0"/>
          <w:spacing w:val="0"/>
          <w:sz w:val="32"/>
          <w:szCs w:val="32"/>
          <w:lang w:val="en-US" w:eastAsia="zh-CN"/>
        </w:rPr>
        <w:t>提高资金使用效益</w:t>
      </w:r>
      <w:r>
        <w:rPr>
          <w:rFonts w:ascii="仿宋_GB2312" w:eastAsia="仿宋_GB2312" w:hAnsi="宋体" w:hint="eastAsia"/>
          <w:b w:val="0"/>
          <w:bCs w:val="0"/>
          <w:spacing w:val="0"/>
          <w:sz w:val="32"/>
          <w:szCs w:val="32"/>
          <w:lang w:eastAsia="zh-CN"/>
        </w:rPr>
        <w:t>。</w:t>
      </w:r>
    </w:p>
    <w:p>
      <w:pPr>
        <w:keepNext w:val="0"/>
        <w:keepLines w:val="0"/>
        <w:pageBreakBefore w:val="0"/>
        <w:widowControl w:val="0"/>
        <w:kinsoku/>
        <w:wordWrap/>
        <w:topLinePunct w:val="0"/>
        <w:autoSpaceDE/>
        <w:autoSpaceDN/>
        <w:bidi w:val="0"/>
        <w:adjustRightInd w:val="0"/>
        <w:snapToGrid w:val="0"/>
        <w:spacing w:line="580" w:lineRule="exact"/>
        <w:ind w:firstLine="640" w:firstLineChars="200"/>
        <w:textAlignment w:val="auto"/>
        <w:rPr>
          <w:rFonts w:ascii="仿宋_GB2312" w:eastAsia="仿宋_GB2312" w:hAnsi="仿宋_GB2312" w:cs="仿宋_GB2312" w:hint="eastAsia"/>
          <w:b w:val="0"/>
          <w:bCs/>
          <w:sz w:val="32"/>
          <w:szCs w:val="32"/>
        </w:rPr>
      </w:pPr>
      <w:r>
        <w:rPr>
          <w:rFonts w:ascii="黑体" w:eastAsia="黑体" w:hAnsi="黑体" w:cs="黑体" w:hint="eastAsia"/>
          <w:b w:val="0"/>
          <w:bCs/>
          <w:sz w:val="32"/>
          <w:szCs w:val="32"/>
        </w:rPr>
        <w:t>二、部门整体评价工作开展</w:t>
      </w:r>
    </w:p>
    <w:p>
      <w:pPr>
        <w:keepNext w:val="0"/>
        <w:keepLines w:val="0"/>
        <w:pageBreakBefore w:val="0"/>
        <w:widowControl w:val="0"/>
        <w:kinsoku/>
        <w:wordWrap/>
        <w:topLinePunct w:val="0"/>
        <w:autoSpaceDE/>
        <w:autoSpaceDN/>
        <w:bidi w:val="0"/>
        <w:adjustRightInd w:val="0"/>
        <w:snapToGrid w:val="0"/>
        <w:spacing w:line="580" w:lineRule="exact"/>
        <w:ind w:firstLine="640" w:firstLineChars="200"/>
        <w:textAlignment w:val="auto"/>
        <w:rPr>
          <w:rFonts w:ascii="楷体_GB2312" w:eastAsia="楷体_GB2312" w:hAnsi="楷体_GB2312" w:cs="楷体_GB2312" w:hint="eastAsia"/>
          <w:b/>
          <w:bCs/>
          <w:kern w:val="0"/>
          <w:sz w:val="32"/>
          <w:szCs w:val="32"/>
          <w:lang w:val="en-US" w:eastAsia="zh-CN"/>
        </w:rPr>
      </w:pPr>
      <w:r>
        <w:rPr>
          <w:rFonts w:ascii="楷体_GB2312" w:eastAsia="楷体_GB2312" w:hAnsi="楷体_GB2312" w:cs="楷体_GB2312" w:hint="eastAsia"/>
          <w:b/>
          <w:bCs/>
          <w:kern w:val="0"/>
          <w:sz w:val="32"/>
          <w:szCs w:val="32"/>
        </w:rPr>
        <w:t>（一）绩效评价</w:t>
      </w:r>
      <w:r>
        <w:rPr>
          <w:rFonts w:ascii="楷体_GB2312" w:eastAsia="楷体_GB2312" w:hAnsi="楷体_GB2312" w:cs="楷体_GB2312" w:hint="eastAsia"/>
          <w:b/>
          <w:bCs/>
          <w:kern w:val="0"/>
          <w:sz w:val="32"/>
          <w:szCs w:val="32"/>
          <w:lang w:val="en-US" w:eastAsia="zh-CN"/>
        </w:rPr>
        <w:t>目的</w:t>
      </w:r>
    </w:p>
    <w:p>
      <w:pPr>
        <w:keepNext w:val="0"/>
        <w:keepLines w:val="0"/>
        <w:pageBreakBefore w:val="0"/>
        <w:widowControl w:val="0"/>
        <w:kinsoku/>
        <w:wordWrap/>
        <w:topLinePunct w:val="0"/>
        <w:autoSpaceDE/>
        <w:autoSpaceDN/>
        <w:bidi w:val="0"/>
        <w:adjustRightInd w:val="0"/>
        <w:snapToGrid w:val="0"/>
        <w:spacing w:line="580" w:lineRule="exact"/>
        <w:ind w:firstLine="640" w:firstLineChars="200"/>
        <w:textAlignment w:val="auto"/>
        <w:rPr>
          <w:rFonts w:ascii="仿宋_GB2312" w:eastAsia="仿宋_GB2312" w:hAnsi="仿宋_GB2312" w:cs="仿宋_GB2312" w:hint="eastAsia"/>
          <w:bCs/>
          <w:kern w:val="0"/>
          <w:sz w:val="32"/>
          <w:szCs w:val="32"/>
          <w:lang w:val="en-US" w:eastAsia="zh-CN"/>
        </w:rPr>
      </w:pPr>
      <w:r>
        <w:rPr>
          <w:rFonts w:ascii="仿宋_GB2312" w:eastAsia="仿宋_GB2312" w:hAnsi="仿宋_GB2312" w:cs="仿宋_GB2312" w:hint="eastAsia"/>
          <w:bCs/>
          <w:kern w:val="0"/>
          <w:sz w:val="32"/>
          <w:szCs w:val="32"/>
          <w:lang w:val="en-US" w:eastAsia="zh-CN"/>
        </w:rPr>
        <w:t>严格落实《中华人民共和国预算法》及省、市绩效管理工作的有关规定，进一步规范财政资金的管理，强化财政支出绩效理念，提升部门责任意识，提高资金使用效益，促进纪委工作的发展。</w:t>
      </w:r>
    </w:p>
    <w:p>
      <w:pPr>
        <w:keepNext w:val="0"/>
        <w:keepLines w:val="0"/>
        <w:pageBreakBefore w:val="0"/>
        <w:widowControl w:val="0"/>
        <w:kinsoku/>
        <w:wordWrap/>
        <w:topLinePunct w:val="0"/>
        <w:autoSpaceDE/>
        <w:autoSpaceDN/>
        <w:bidi w:val="0"/>
        <w:adjustRightInd w:val="0"/>
        <w:snapToGrid w:val="0"/>
        <w:spacing w:line="580" w:lineRule="exact"/>
        <w:ind w:firstLine="640" w:firstLineChars="200"/>
        <w:textAlignment w:val="auto"/>
        <w:rPr>
          <w:rFonts w:ascii="楷体_GB2312" w:eastAsia="楷体_GB2312" w:hAnsi="楷体_GB2312" w:cs="楷体_GB2312" w:hint="eastAsia"/>
          <w:b/>
          <w:bCs/>
          <w:kern w:val="0"/>
          <w:sz w:val="32"/>
          <w:szCs w:val="32"/>
          <w:lang w:val="en-US" w:eastAsia="zh-CN"/>
        </w:rPr>
      </w:pPr>
      <w:r>
        <w:rPr>
          <w:rFonts w:ascii="楷体_GB2312" w:eastAsia="楷体_GB2312" w:hAnsi="楷体_GB2312" w:cs="楷体_GB2312" w:hint="eastAsia"/>
          <w:b/>
          <w:bCs/>
          <w:kern w:val="0"/>
          <w:sz w:val="32"/>
          <w:szCs w:val="32"/>
          <w:lang w:eastAsia="zh-CN"/>
        </w:rPr>
        <w:t>（二）</w:t>
      </w:r>
      <w:r>
        <w:rPr>
          <w:rFonts w:ascii="楷体_GB2312" w:eastAsia="楷体_GB2312" w:hAnsi="楷体_GB2312" w:cs="楷体_GB2312" w:hint="eastAsia"/>
          <w:b/>
          <w:bCs/>
          <w:kern w:val="0"/>
          <w:sz w:val="32"/>
          <w:szCs w:val="32"/>
        </w:rPr>
        <w:t>绩效评价</w:t>
      </w:r>
      <w:r>
        <w:rPr>
          <w:rFonts w:ascii="楷体_GB2312" w:eastAsia="楷体_GB2312" w:hAnsi="楷体_GB2312" w:cs="楷体_GB2312" w:hint="eastAsia"/>
          <w:b/>
          <w:bCs/>
          <w:kern w:val="0"/>
          <w:sz w:val="32"/>
          <w:szCs w:val="32"/>
          <w:lang w:val="en-US" w:eastAsia="zh-CN"/>
        </w:rPr>
        <w:t>实施过程</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bCs/>
          <w:sz w:val="30"/>
          <w:szCs w:val="30"/>
          <w:lang w:val="en-US" w:eastAsia="zh-CN"/>
        </w:rPr>
      </w:pPr>
      <w:r>
        <w:rPr>
          <w:rFonts w:ascii="仿宋_GB2312" w:eastAsia="仿宋_GB2312" w:hAnsi="仿宋_GB2312" w:cs="仿宋_GB2312" w:hint="eastAsia"/>
          <w:bCs/>
          <w:kern w:val="0"/>
          <w:sz w:val="32"/>
          <w:szCs w:val="32"/>
          <w:lang w:eastAsia="zh-CN"/>
        </w:rPr>
        <w:t>我部门</w:t>
      </w:r>
      <w:r>
        <w:rPr>
          <w:rFonts w:ascii="仿宋_GB2312" w:eastAsia="仿宋_GB2312" w:hAnsi="仿宋_GB2312" w:cs="仿宋_GB2312" w:hint="eastAsia"/>
          <w:sz w:val="32"/>
          <w:szCs w:val="32"/>
        </w:rPr>
        <w:t>根据新《中华人民共和国预算法》对预算绩效管理的新要求，以提升财政资金预算绩效为主线，以绩效目标实现为导向，加强预算绩效管理建设，开展了</w:t>
      </w:r>
      <w:r>
        <w:rPr>
          <w:rFonts w:ascii="仿宋_GB2312" w:eastAsia="仿宋_GB2312" w:hAnsi="仿宋_GB2312" w:cs="仿宋_GB2312" w:hint="eastAsia"/>
          <w:sz w:val="32"/>
          <w:szCs w:val="32"/>
          <w:lang w:val="en-US" w:eastAsia="zh-CN"/>
        </w:rPr>
        <w:t>2021</w:t>
      </w:r>
      <w:r>
        <w:rPr>
          <w:rFonts w:ascii="仿宋_GB2312" w:eastAsia="仿宋_GB2312" w:hAnsi="仿宋_GB2312" w:cs="仿宋_GB2312" w:hint="eastAsia"/>
          <w:sz w:val="32"/>
          <w:szCs w:val="32"/>
        </w:rPr>
        <w:t>度一般公共预算绩效目标自评，自评覆盖率达到100%。在预算执行、预算管理方面，严格遵守各项财经纪律，强化内部管理，完善财务制度。规范管理体制，做到有章可循，违章必究，有效地加强了对机关内部的人、财、物的管理。</w:t>
      </w:r>
      <w:r>
        <w:rPr>
          <w:rFonts w:ascii="仿宋_GB2312" w:eastAsia="仿宋_GB2312" w:hAnsi="仿宋_GB2312" w:cs="仿宋_GB2312" w:hint="eastAsia"/>
          <w:bCs/>
          <w:sz w:val="30"/>
          <w:szCs w:val="30"/>
          <w:lang w:val="en-US" w:eastAsia="zh-CN"/>
        </w:rPr>
        <w:t xml:space="preserve">  </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黑体" w:eastAsia="黑体" w:hAnsi="黑体" w:cs="黑体" w:hint="eastAsia"/>
          <w:b w:val="0"/>
          <w:bCs/>
          <w:sz w:val="32"/>
          <w:szCs w:val="32"/>
        </w:rPr>
      </w:pPr>
      <w:r>
        <w:rPr>
          <w:rFonts w:ascii="黑体" w:eastAsia="黑体" w:hAnsi="黑体" w:cs="黑体" w:hint="eastAsia"/>
          <w:b w:val="0"/>
          <w:bCs/>
          <w:sz w:val="32"/>
          <w:szCs w:val="32"/>
          <w:lang w:eastAsia="zh-CN"/>
        </w:rPr>
        <w:t>三、</w:t>
      </w:r>
      <w:r>
        <w:rPr>
          <w:rFonts w:ascii="黑体" w:eastAsia="黑体" w:hAnsi="黑体" w:cs="黑体" w:hint="eastAsia"/>
          <w:b w:val="0"/>
          <w:bCs/>
          <w:sz w:val="32"/>
          <w:szCs w:val="32"/>
        </w:rPr>
        <w:t>部门整体支出绩效评价分析</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bCs/>
          <w:kern w:val="0"/>
          <w:sz w:val="32"/>
          <w:szCs w:val="32"/>
          <w:lang w:val="en-US" w:eastAsia="zh-CN"/>
        </w:rPr>
      </w:pPr>
      <w:r>
        <w:rPr>
          <w:rFonts w:ascii="仿宋_GB2312" w:eastAsia="仿宋_GB2312" w:hAnsi="仿宋_GB2312" w:cs="仿宋_GB2312" w:hint="eastAsia"/>
          <w:bCs/>
          <w:kern w:val="0"/>
          <w:sz w:val="32"/>
          <w:szCs w:val="32"/>
          <w:lang w:eastAsia="zh-CN"/>
        </w:rPr>
        <w:t>我部门</w:t>
      </w:r>
      <w:r>
        <w:rPr>
          <w:rFonts w:ascii="仿宋_GB2312" w:eastAsia="仿宋_GB2312" w:hAnsi="仿宋_GB2312" w:cs="仿宋_GB2312" w:hint="eastAsia"/>
          <w:bCs/>
          <w:kern w:val="0"/>
          <w:sz w:val="32"/>
          <w:szCs w:val="32"/>
          <w:lang w:val="en-US" w:eastAsia="zh-CN"/>
        </w:rPr>
        <w:t>2021年度绩效目标总体完成情况良好，自评90.6分，自评等级为优秀。</w:t>
      </w:r>
    </w:p>
    <w:p>
      <w:pPr>
        <w:keepNext w:val="0"/>
        <w:keepLines w:val="0"/>
        <w:pageBreakBefore w:val="0"/>
        <w:widowControl w:val="0"/>
        <w:numPr>
          <w:ilvl w:val="0"/>
          <w:numId w:val="1"/>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楷体_GB2312" w:eastAsia="楷体_GB2312" w:hAnsi="楷体_GB2312" w:cs="楷体_GB2312" w:hint="eastAsia"/>
          <w:b/>
          <w:bCs/>
          <w:color w:val="auto"/>
          <w:kern w:val="0"/>
          <w:sz w:val="32"/>
          <w:szCs w:val="32"/>
          <w:lang w:val="en-US" w:eastAsia="zh-CN"/>
        </w:rPr>
      </w:pPr>
      <w:r>
        <w:rPr>
          <w:rFonts w:ascii="楷体_GB2312" w:eastAsia="楷体_GB2312" w:hAnsi="楷体_GB2312" w:cs="楷体_GB2312" w:hint="eastAsia"/>
          <w:b/>
          <w:bCs/>
          <w:color w:val="auto"/>
          <w:kern w:val="0"/>
          <w:sz w:val="32"/>
          <w:szCs w:val="32"/>
        </w:rPr>
        <w:t>投入绩效情况分析</w:t>
      </w:r>
      <w:r>
        <w:rPr>
          <w:rFonts w:ascii="楷体_GB2312" w:eastAsia="楷体_GB2312" w:hAnsi="楷体_GB2312" w:cs="楷体_GB2312" w:hint="eastAsia"/>
          <w:b/>
          <w:bCs/>
          <w:color w:val="auto"/>
          <w:kern w:val="0"/>
          <w:sz w:val="32"/>
          <w:szCs w:val="32"/>
          <w:lang w:val="en-US" w:eastAsia="zh-CN"/>
        </w:rPr>
        <w:t xml:space="preserve"> </w:t>
      </w:r>
    </w:p>
    <w:p>
      <w:pPr>
        <w:keepNext w:val="0"/>
        <w:keepLines w:val="0"/>
        <w:pageBreakBefore w:val="0"/>
        <w:widowControl w:val="0"/>
        <w:numPr>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color w:val="auto"/>
          <w:kern w:val="0"/>
          <w:sz w:val="32"/>
          <w:szCs w:val="32"/>
          <w:lang w:val="en-US" w:eastAsia="zh-CN"/>
        </w:rPr>
      </w:pPr>
      <w:r>
        <w:rPr>
          <w:rFonts w:ascii="仿宋_GB2312" w:eastAsia="仿宋_GB2312" w:hAnsi="仿宋_GB2312" w:cs="仿宋_GB2312" w:hint="eastAsia"/>
          <w:color w:val="auto"/>
          <w:kern w:val="0"/>
          <w:sz w:val="32"/>
          <w:szCs w:val="32"/>
          <w:lang w:val="en-US" w:eastAsia="zh-CN"/>
        </w:rPr>
        <w:t>1、目标设定方面得分4分。年初整体目标设定符合“三定”方案（定机构、定职能、定编制）确定的部门职责，符合部门制定的中长期实施规划。</w:t>
      </w:r>
    </w:p>
    <w:p>
      <w:pPr>
        <w:keepNext w:val="0"/>
        <w:keepLines w:val="0"/>
        <w:pageBreakBefore w:val="0"/>
        <w:widowControl w:val="0"/>
        <w:numPr>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color w:val="auto"/>
          <w:kern w:val="0"/>
          <w:sz w:val="32"/>
          <w:szCs w:val="32"/>
          <w:lang w:val="en-US" w:eastAsia="zh-CN"/>
        </w:rPr>
      </w:pPr>
      <w:r>
        <w:rPr>
          <w:rFonts w:ascii="仿宋_GB2312" w:eastAsia="仿宋_GB2312" w:hAnsi="仿宋_GB2312" w:cs="仿宋_GB2312" w:hint="eastAsia"/>
          <w:color w:val="auto"/>
          <w:kern w:val="0"/>
          <w:sz w:val="32"/>
          <w:szCs w:val="32"/>
          <w:lang w:val="en-US" w:eastAsia="zh-CN"/>
        </w:rPr>
        <w:t>2、预算配置方面得分8分。在职人员控制率100%，</w:t>
      </w:r>
      <w:r>
        <w:rPr>
          <w:rFonts w:ascii="仿宋_GB2312" w:eastAsia="仿宋_GB2312" w:hAnsi="仿宋_GB2312" w:cs="仿宋_GB2312" w:hint="eastAsia"/>
          <w:color w:val="auto"/>
          <w:kern w:val="0"/>
          <w:sz w:val="32"/>
          <w:szCs w:val="32"/>
          <w:lang w:val="en-US" w:eastAsia="zh-CN"/>
        </w:rPr>
        <w:t>“三公”经费</w:t>
      </w:r>
      <w:r>
        <w:rPr>
          <w:rFonts w:ascii="仿宋_GB2312" w:eastAsia="仿宋_GB2312" w:hAnsi="仿宋_GB2312" w:cs="仿宋_GB2312" w:hint="eastAsia"/>
          <w:color w:val="auto"/>
          <w:kern w:val="0"/>
          <w:sz w:val="32"/>
          <w:szCs w:val="32"/>
          <w:lang w:val="en-US" w:eastAsia="zh-CN"/>
        </w:rPr>
        <w:t>变动率比上年缩</w:t>
      </w:r>
      <w:r>
        <w:rPr>
          <w:rFonts w:ascii="仿宋_GB2312" w:eastAsia="仿宋_GB2312" w:hAnsi="仿宋_GB2312" w:cs="仿宋_GB2312" w:hint="eastAsia"/>
          <w:color w:val="auto"/>
          <w:kern w:val="0"/>
          <w:sz w:val="32"/>
          <w:szCs w:val="32"/>
          <w:highlight w:val="none"/>
          <w:lang w:val="en-US" w:eastAsia="zh-CN"/>
        </w:rPr>
        <w:t>减了2.49%</w:t>
      </w:r>
      <w:r>
        <w:rPr>
          <w:rFonts w:ascii="仿宋_GB2312" w:eastAsia="仿宋_GB2312" w:hAnsi="仿宋_GB2312" w:cs="仿宋_GB2312" w:hint="eastAsia"/>
          <w:color w:val="auto"/>
          <w:kern w:val="0"/>
          <w:sz w:val="32"/>
          <w:szCs w:val="32"/>
          <w:lang w:val="en-US" w:eastAsia="zh-CN"/>
        </w:rPr>
        <w:t>。</w:t>
      </w:r>
    </w:p>
    <w:p>
      <w:pPr>
        <w:keepNext w:val="0"/>
        <w:keepLines w:val="0"/>
        <w:pageBreakBefore w:val="0"/>
        <w:widowControl w:val="0"/>
        <w:numPr>
          <w:ilvl w:val="0"/>
          <w:numId w:val="1"/>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楷体_GB2312" w:eastAsia="楷体_GB2312" w:hAnsi="楷体_GB2312" w:cs="楷体_GB2312" w:hint="eastAsia"/>
          <w:b/>
          <w:bCs/>
          <w:color w:val="auto"/>
          <w:kern w:val="0"/>
          <w:sz w:val="32"/>
          <w:szCs w:val="32"/>
        </w:rPr>
      </w:pPr>
      <w:r>
        <w:rPr>
          <w:rFonts w:ascii="楷体_GB2312" w:eastAsia="楷体_GB2312" w:hAnsi="楷体_GB2312" w:cs="楷体_GB2312" w:hint="eastAsia"/>
          <w:b/>
          <w:bCs/>
          <w:color w:val="auto"/>
          <w:kern w:val="0"/>
          <w:sz w:val="32"/>
          <w:szCs w:val="32"/>
        </w:rPr>
        <w:t>过程绩效情况分析</w:t>
      </w:r>
    </w:p>
    <w:p>
      <w:pPr>
        <w:keepNext w:val="0"/>
        <w:keepLines w:val="0"/>
        <w:pageBreakBefore w:val="0"/>
        <w:widowControl w:val="0"/>
        <w:numPr>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color w:val="auto"/>
          <w:kern w:val="0"/>
          <w:sz w:val="32"/>
          <w:szCs w:val="32"/>
          <w:lang w:val="en-US" w:eastAsia="zh-CN"/>
        </w:rPr>
      </w:pPr>
      <w:r>
        <w:rPr>
          <w:rFonts w:ascii="仿宋_GB2312" w:eastAsia="仿宋_GB2312" w:hAnsi="仿宋_GB2312" w:cs="仿宋_GB2312" w:hint="eastAsia"/>
          <w:color w:val="auto"/>
          <w:kern w:val="0"/>
          <w:sz w:val="32"/>
          <w:szCs w:val="32"/>
          <w:lang w:val="en-US" w:eastAsia="zh-CN"/>
        </w:rPr>
        <w:t>1、预算执行得分20.6分。预算完成率达到目标设定值，得满分；全年支付进度达到111%，得5分，结转结余率得0分。</w:t>
      </w:r>
    </w:p>
    <w:p>
      <w:pPr>
        <w:keepNext w:val="0"/>
        <w:keepLines w:val="0"/>
        <w:pageBreakBefore w:val="0"/>
        <w:widowControl w:val="0"/>
        <w:numPr>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color w:val="auto"/>
          <w:kern w:val="0"/>
          <w:sz w:val="32"/>
          <w:szCs w:val="32"/>
          <w:lang w:val="en-US" w:eastAsia="zh-CN"/>
        </w:rPr>
      </w:pPr>
      <w:r>
        <w:rPr>
          <w:rFonts w:ascii="仿宋_GB2312" w:eastAsia="仿宋_GB2312" w:hAnsi="仿宋_GB2312" w:cs="仿宋_GB2312" w:hint="eastAsia"/>
          <w:color w:val="auto"/>
          <w:kern w:val="0"/>
          <w:sz w:val="32"/>
          <w:szCs w:val="32"/>
          <w:lang w:val="en-US" w:eastAsia="zh-CN"/>
        </w:rPr>
        <w:t>2、预算管理得分18分。预算管理制度健全完整，使用预算资金符合相关的预算财务管理制度的相关规定，年初预算编制科学、合理，已经按照政府信息公开有关规定，公开相关预算信息，并且基础信息完善，规范。</w:t>
      </w:r>
    </w:p>
    <w:p>
      <w:pPr>
        <w:keepNext w:val="0"/>
        <w:keepLines w:val="0"/>
        <w:pageBreakBefore w:val="0"/>
        <w:widowControl w:val="0"/>
        <w:numPr>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color w:val="auto"/>
          <w:kern w:val="0"/>
          <w:sz w:val="32"/>
          <w:szCs w:val="32"/>
          <w:lang w:val="en-US" w:eastAsia="zh-CN"/>
        </w:rPr>
      </w:pPr>
      <w:r>
        <w:rPr>
          <w:rFonts w:ascii="仿宋_GB2312" w:eastAsia="仿宋_GB2312" w:hAnsi="仿宋_GB2312" w:cs="仿宋_GB2312" w:hint="eastAsia"/>
          <w:color w:val="auto"/>
          <w:kern w:val="0"/>
          <w:sz w:val="32"/>
          <w:szCs w:val="32"/>
          <w:lang w:val="en-US" w:eastAsia="zh-CN"/>
        </w:rPr>
        <w:t>3、资产管理得分8分。资产制度健全完整，实物资产保存完整、使用合规、配置合理、处置规范、收入及时足额上缴财政部门，在用固定资产总额与所有固定资产总额的比率为100%。</w:t>
      </w:r>
    </w:p>
    <w:p>
      <w:pPr>
        <w:keepNext w:val="0"/>
        <w:keepLines w:val="0"/>
        <w:pageBreakBefore w:val="0"/>
        <w:widowControl w:val="0"/>
        <w:numPr>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kern w:val="0"/>
          <w:sz w:val="32"/>
          <w:szCs w:val="32"/>
          <w:lang w:val="en-US" w:eastAsia="zh-CN"/>
        </w:rPr>
        <w:t>4、绩效监控得分2分。在绩效监控的项目数量占实际申报绩效目标数量的比率，在项目运行中基本达到全部实施绩效管理。</w:t>
      </w:r>
    </w:p>
    <w:p>
      <w:pPr>
        <w:keepNext w:val="0"/>
        <w:keepLines w:val="0"/>
        <w:pageBreakBefore w:val="0"/>
        <w:widowControl w:val="0"/>
        <w:numPr>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楷体_GB2312" w:eastAsia="楷体_GB2312" w:hAnsi="楷体_GB2312" w:cs="楷体_GB2312" w:hint="eastAsia"/>
          <w:b/>
          <w:bCs/>
          <w:color w:val="auto"/>
          <w:kern w:val="0"/>
          <w:sz w:val="32"/>
          <w:szCs w:val="32"/>
        </w:rPr>
      </w:pPr>
      <w:r>
        <w:rPr>
          <w:rFonts w:ascii="楷体_GB2312" w:eastAsia="楷体_GB2312" w:hAnsi="楷体_GB2312" w:cs="楷体_GB2312" w:hint="eastAsia"/>
          <w:b/>
          <w:bCs/>
          <w:color w:val="auto"/>
          <w:kern w:val="0"/>
          <w:sz w:val="32"/>
          <w:szCs w:val="32"/>
          <w:lang w:eastAsia="zh-CN"/>
        </w:rPr>
        <w:t>（三）</w:t>
      </w:r>
      <w:r>
        <w:rPr>
          <w:rFonts w:ascii="楷体_GB2312" w:eastAsia="楷体_GB2312" w:hAnsi="楷体_GB2312" w:cs="楷体_GB2312" w:hint="eastAsia"/>
          <w:b/>
          <w:bCs/>
          <w:color w:val="auto"/>
          <w:kern w:val="0"/>
          <w:sz w:val="32"/>
          <w:szCs w:val="32"/>
        </w:rPr>
        <w:t>支出绩效情况分析</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color w:val="auto"/>
          <w:sz w:val="32"/>
          <w:szCs w:val="32"/>
          <w:lang w:val="en-US" w:eastAsia="zh-CN"/>
        </w:rPr>
      </w:pPr>
      <w:r>
        <w:rPr>
          <w:rFonts w:ascii="仿宋_GB2312" w:eastAsia="仿宋_GB2312" w:hAnsi="仿宋_GB2312" w:cs="仿宋_GB2312" w:hint="eastAsia"/>
          <w:color w:val="auto"/>
          <w:sz w:val="32"/>
          <w:szCs w:val="32"/>
          <w:lang w:val="en-US" w:eastAsia="zh-CN"/>
        </w:rPr>
        <w:t>产出得分15分。项目质量达标率、重点工作办结率、部门绩效自评项目占比率完成情况较好。</w:t>
      </w:r>
    </w:p>
    <w:p>
      <w:pPr>
        <w:keepNext w:val="0"/>
        <w:keepLines w:val="0"/>
        <w:pageBreakBefore w:val="0"/>
        <w:widowControl w:val="0"/>
        <w:numPr>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楷体_GB2312" w:eastAsia="楷体_GB2312" w:hAnsi="楷体_GB2312" w:cs="楷体_GB2312" w:hint="eastAsia"/>
          <w:b/>
          <w:bCs/>
          <w:color w:val="auto"/>
          <w:kern w:val="0"/>
          <w:sz w:val="32"/>
          <w:szCs w:val="32"/>
        </w:rPr>
      </w:pPr>
      <w:r>
        <w:rPr>
          <w:rFonts w:ascii="楷体_GB2312" w:eastAsia="楷体_GB2312" w:hAnsi="楷体_GB2312" w:cs="楷体_GB2312" w:hint="eastAsia"/>
          <w:b/>
          <w:bCs/>
          <w:color w:val="auto"/>
          <w:kern w:val="0"/>
          <w:sz w:val="32"/>
          <w:szCs w:val="32"/>
          <w:lang w:eastAsia="zh-CN"/>
        </w:rPr>
        <w:t>（四）</w:t>
      </w:r>
      <w:r>
        <w:rPr>
          <w:rFonts w:ascii="楷体_GB2312" w:eastAsia="楷体_GB2312" w:hAnsi="楷体_GB2312" w:cs="楷体_GB2312" w:hint="eastAsia"/>
          <w:b/>
          <w:bCs/>
          <w:color w:val="auto"/>
          <w:kern w:val="0"/>
          <w:sz w:val="32"/>
          <w:szCs w:val="32"/>
        </w:rPr>
        <w:t>效果绩效情况分析</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color w:val="auto"/>
          <w:sz w:val="32"/>
          <w:szCs w:val="32"/>
          <w:lang w:val="en-US" w:eastAsia="zh-CN"/>
        </w:rPr>
      </w:pPr>
      <w:r>
        <w:rPr>
          <w:rFonts w:ascii="仿宋_GB2312" w:eastAsia="仿宋_GB2312" w:hAnsi="仿宋_GB2312" w:cs="仿宋_GB2312" w:hint="eastAsia"/>
          <w:color w:val="auto"/>
          <w:sz w:val="32"/>
          <w:szCs w:val="32"/>
          <w:lang w:val="en-US" w:eastAsia="zh-CN"/>
        </w:rPr>
        <w:t>效果得分15分。经济效益、社会效益以及生态效益得到充分发挥，采用社会调查的方式向社会公众征求履职效果情况。</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黑体" w:eastAsia="黑体" w:hAnsi="黑体" w:cs="黑体" w:hint="eastAsia"/>
          <w:b w:val="0"/>
          <w:bCs/>
          <w:sz w:val="32"/>
          <w:szCs w:val="32"/>
        </w:rPr>
      </w:pPr>
      <w:r>
        <w:rPr>
          <w:rFonts w:ascii="黑体" w:eastAsia="黑体" w:hAnsi="黑体" w:cs="黑体" w:hint="eastAsia"/>
          <w:b w:val="0"/>
          <w:bCs/>
          <w:sz w:val="32"/>
          <w:szCs w:val="32"/>
          <w:lang w:eastAsia="zh-CN"/>
        </w:rPr>
        <w:t>四、</w:t>
      </w:r>
      <w:r>
        <w:rPr>
          <w:rFonts w:ascii="黑体" w:eastAsia="黑体" w:hAnsi="黑体" w:cs="黑体" w:hint="eastAsia"/>
          <w:b w:val="0"/>
          <w:bCs/>
          <w:sz w:val="32"/>
          <w:szCs w:val="32"/>
        </w:rPr>
        <w:t>存在的问题</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b w:val="0"/>
          <w:bCs/>
          <w:sz w:val="32"/>
          <w:szCs w:val="32"/>
          <w:lang w:val="en-US" w:eastAsia="zh-CN"/>
        </w:rPr>
      </w:pPr>
      <w:r>
        <w:rPr>
          <w:rFonts w:ascii="仿宋_GB2312" w:eastAsia="仿宋_GB2312" w:hAnsi="仿宋_GB2312" w:cs="仿宋_GB2312" w:hint="eastAsia"/>
          <w:b w:val="0"/>
          <w:bCs/>
          <w:sz w:val="32"/>
          <w:szCs w:val="32"/>
          <w:lang w:val="en-US" w:eastAsia="zh-CN"/>
        </w:rPr>
        <w:t>本部门通过对2021年度部门整体支出绩效自评，发现我单位预算管理不够精确，预算统筹及执行有待加强。</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黑体" w:eastAsia="黑体" w:hAnsi="黑体" w:cs="黑体" w:hint="eastAsia"/>
          <w:b w:val="0"/>
          <w:bCs/>
          <w:sz w:val="32"/>
          <w:szCs w:val="32"/>
        </w:rPr>
      </w:pPr>
      <w:r>
        <w:rPr>
          <w:rFonts w:ascii="黑体" w:eastAsia="黑体" w:hAnsi="黑体" w:cs="黑体" w:hint="eastAsia"/>
          <w:b w:val="0"/>
          <w:bCs/>
          <w:sz w:val="32"/>
          <w:szCs w:val="32"/>
          <w:lang w:eastAsia="zh-CN"/>
        </w:rPr>
        <w:t>五、</w:t>
      </w:r>
      <w:r>
        <w:rPr>
          <w:rFonts w:ascii="黑体" w:eastAsia="黑体" w:hAnsi="黑体" w:cs="黑体" w:hint="eastAsia"/>
          <w:b w:val="0"/>
          <w:bCs/>
          <w:sz w:val="32"/>
          <w:szCs w:val="32"/>
        </w:rPr>
        <w:t>整改措施或建议</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b w:val="0"/>
          <w:bCs/>
          <w:sz w:val="32"/>
          <w:szCs w:val="32"/>
          <w:lang w:eastAsia="zh-CN"/>
        </w:rPr>
      </w:pPr>
      <w:r>
        <w:rPr>
          <w:rFonts w:ascii="仿宋_GB2312" w:eastAsia="仿宋_GB2312" w:hAnsi="仿宋_GB2312" w:cs="仿宋_GB2312" w:hint="eastAsia"/>
          <w:b w:val="0"/>
          <w:bCs/>
          <w:sz w:val="32"/>
          <w:szCs w:val="32"/>
          <w:lang w:eastAsia="zh-CN"/>
        </w:rPr>
        <w:t>提高对预算绩效工作的重视程度，完善相关制度建设，科学、合理统筹编制部门预算。严格按照批复或下达的绩效目标组织预算执行，并对预算执行进度和绩效目标实现程度开展“双监控”发现问题及时纠正，确保绩效目标如期实现。</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黑体" w:eastAsia="黑体" w:hAnsi="黑体" w:cs="黑体" w:hint="eastAsia"/>
          <w:b w:val="0"/>
          <w:bCs/>
          <w:sz w:val="32"/>
          <w:szCs w:val="32"/>
        </w:rPr>
      </w:pPr>
      <w:r>
        <w:rPr>
          <w:rFonts w:ascii="黑体" w:eastAsia="黑体" w:hAnsi="黑体" w:cs="黑体" w:hint="eastAsia"/>
          <w:b w:val="0"/>
          <w:bCs/>
          <w:sz w:val="32"/>
          <w:szCs w:val="32"/>
          <w:lang w:eastAsia="zh-CN"/>
        </w:rPr>
        <w:t>六、</w:t>
      </w:r>
      <w:r>
        <w:rPr>
          <w:rFonts w:ascii="黑体" w:eastAsia="黑体" w:hAnsi="黑体" w:cs="黑体" w:hint="eastAsia"/>
          <w:b w:val="0"/>
          <w:bCs/>
          <w:sz w:val="32"/>
          <w:szCs w:val="32"/>
        </w:rPr>
        <w:t>其他需要说明的问题</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pPr>
      <w:r>
        <w:rPr>
          <w:rFonts w:ascii="仿宋_GB2312" w:eastAsia="仿宋_GB2312" w:hAnsi="仿宋_GB2312" w:cs="仿宋_GB2312" w:hint="eastAsia"/>
          <w:b w:val="0"/>
          <w:bCs/>
          <w:sz w:val="32"/>
          <w:szCs w:val="32"/>
          <w:lang w:val="en-US" w:eastAsia="zh-CN"/>
        </w:rPr>
        <w:t>无</w:t>
      </w:r>
    </w:p>
    <w:sectPr>
      <w:footerReference w:type="default" r:id="rId5"/>
      <w:pgSz w:w="11906" w:h="16838"/>
      <w:pgMar w:top="1440" w:right="1800" w:bottom="1440" w:left="1800" w:header="851" w:footer="992" w:gutter="0"/>
      <w:pgNumType w:fmt="numberInDash"/>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Footer"/>
                            <w:rPr>
                              <w:rFonts w:eastAsiaTheme="minorEastAsia" w:hint="eastAsia"/>
                              <w:lang w:eastAsia="zh-CN"/>
                            </w:rPr>
                          </w:pP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Pr>
                              <w:rFonts w:ascii="宋体" w:eastAsia="宋体" w:hAnsi="宋体" w:cs="宋体" w:hint="eastAsia"/>
                              <w:sz w:val="28"/>
                              <w:szCs w:val="28"/>
                              <w:lang w:eastAsia="zh-CN"/>
                            </w:rPr>
                            <w:t>1</w:t>
                          </w:r>
                          <w:r>
                            <w:rPr>
                              <w:rFonts w:ascii="宋体" w:eastAsia="宋体" w:hAnsi="宋体" w:cs="宋体"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rPr>
                        <w:rFonts w:eastAsiaTheme="minorEastAsia" w:hint="eastAsia"/>
                        <w:lang w:eastAsia="zh-CN"/>
                      </w:rPr>
                    </w:pPr>
                    <w:r>
                      <w:rPr>
                        <w:rFonts w:ascii="宋体" w:eastAsia="宋体" w:hAnsi="宋体" w:cs="宋体" w:hint="eastAsia"/>
                        <w:sz w:val="28"/>
                        <w:szCs w:val="28"/>
                        <w:lang w:eastAsia="zh-CN"/>
                      </w:rPr>
                      <w:fldChar w:fldCharType="begin"/>
                    </w:r>
                    <w:r>
                      <w:rPr>
                        <w:rFonts w:ascii="宋体" w:eastAsia="宋体" w:hAnsi="宋体" w:cs="宋体" w:hint="eastAsia"/>
                        <w:sz w:val="28"/>
                        <w:szCs w:val="28"/>
                        <w:lang w:eastAsia="zh-CN"/>
                      </w:rPr>
                      <w:instrText xml:space="preserve"> PAGE  \* MERGEFORMAT </w:instrText>
                    </w:r>
                    <w:r>
                      <w:rPr>
                        <w:rFonts w:ascii="宋体" w:eastAsia="宋体" w:hAnsi="宋体" w:cs="宋体" w:hint="eastAsia"/>
                        <w:sz w:val="28"/>
                        <w:szCs w:val="28"/>
                        <w:lang w:eastAsia="zh-CN"/>
                      </w:rPr>
                      <w:fldChar w:fldCharType="separate"/>
                    </w:r>
                    <w:r>
                      <w:rPr>
                        <w:rFonts w:ascii="宋体" w:eastAsia="宋体" w:hAnsi="宋体" w:cs="宋体" w:hint="eastAsia"/>
                        <w:sz w:val="28"/>
                        <w:szCs w:val="28"/>
                        <w:lang w:eastAsia="zh-CN"/>
                      </w:rPr>
                      <w:t>1</w:t>
                    </w:r>
                    <w:r>
                      <w:rPr>
                        <w:rFonts w:ascii="宋体" w:eastAsia="宋体" w:hAnsi="宋体" w:cs="宋体" w:hint="eastAsia"/>
                        <w:sz w:val="28"/>
                        <w:szCs w:val="28"/>
                        <w:lang w:eastAsia="zh-CN"/>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F7C4DE5"/>
    <w:multiLevelType w:val="singleLevel"/>
    <w:tmpl w:val="6F7C4DE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737DDE"/>
    <w:rsid w:val="001D2848"/>
    <w:rsid w:val="00527BF0"/>
    <w:rsid w:val="00C83622"/>
    <w:rsid w:val="00CD0FD0"/>
    <w:rsid w:val="00D20241"/>
    <w:rsid w:val="00DC6CD4"/>
    <w:rsid w:val="00E43BB0"/>
    <w:rsid w:val="0102679D"/>
    <w:rsid w:val="014A60DD"/>
    <w:rsid w:val="018120AE"/>
    <w:rsid w:val="019F4AD4"/>
    <w:rsid w:val="02050984"/>
    <w:rsid w:val="02505B84"/>
    <w:rsid w:val="02F652C2"/>
    <w:rsid w:val="03181E1C"/>
    <w:rsid w:val="0325213F"/>
    <w:rsid w:val="040C4ECE"/>
    <w:rsid w:val="04131CE0"/>
    <w:rsid w:val="0441053E"/>
    <w:rsid w:val="046155BC"/>
    <w:rsid w:val="04B734FB"/>
    <w:rsid w:val="04DC2321"/>
    <w:rsid w:val="060C2E0C"/>
    <w:rsid w:val="065A38C8"/>
    <w:rsid w:val="06755EB1"/>
    <w:rsid w:val="06A12DF9"/>
    <w:rsid w:val="06B654C2"/>
    <w:rsid w:val="074D7F0F"/>
    <w:rsid w:val="07B2217D"/>
    <w:rsid w:val="07E52708"/>
    <w:rsid w:val="07E73533"/>
    <w:rsid w:val="083321B0"/>
    <w:rsid w:val="08E615CE"/>
    <w:rsid w:val="0906595E"/>
    <w:rsid w:val="09445504"/>
    <w:rsid w:val="09525A02"/>
    <w:rsid w:val="096650D8"/>
    <w:rsid w:val="0A82247D"/>
    <w:rsid w:val="0AC608AB"/>
    <w:rsid w:val="0B4F3973"/>
    <w:rsid w:val="0B8335EC"/>
    <w:rsid w:val="0C092DBF"/>
    <w:rsid w:val="0C414861"/>
    <w:rsid w:val="0CCB2C49"/>
    <w:rsid w:val="0CED795E"/>
    <w:rsid w:val="0D0A4EFC"/>
    <w:rsid w:val="0D687D9D"/>
    <w:rsid w:val="0E136EAF"/>
    <w:rsid w:val="0E7033F5"/>
    <w:rsid w:val="0EF93CB3"/>
    <w:rsid w:val="0F2E4FFE"/>
    <w:rsid w:val="0F410122"/>
    <w:rsid w:val="0F5E0F59"/>
    <w:rsid w:val="0F801E22"/>
    <w:rsid w:val="0F8171AD"/>
    <w:rsid w:val="0F9F3165"/>
    <w:rsid w:val="106C4B7F"/>
    <w:rsid w:val="11102C27"/>
    <w:rsid w:val="11412009"/>
    <w:rsid w:val="116C4AD9"/>
    <w:rsid w:val="11F40267"/>
    <w:rsid w:val="1218504D"/>
    <w:rsid w:val="12E07B24"/>
    <w:rsid w:val="12EC5B14"/>
    <w:rsid w:val="13375885"/>
    <w:rsid w:val="13B40493"/>
    <w:rsid w:val="13F5064E"/>
    <w:rsid w:val="13FB09CA"/>
    <w:rsid w:val="140A0092"/>
    <w:rsid w:val="14385F85"/>
    <w:rsid w:val="143A45B0"/>
    <w:rsid w:val="14501ACA"/>
    <w:rsid w:val="14685F54"/>
    <w:rsid w:val="15401AA8"/>
    <w:rsid w:val="1545683E"/>
    <w:rsid w:val="15B30F51"/>
    <w:rsid w:val="15D56B6C"/>
    <w:rsid w:val="15D96795"/>
    <w:rsid w:val="15EC7193"/>
    <w:rsid w:val="16034052"/>
    <w:rsid w:val="161137A3"/>
    <w:rsid w:val="162838D7"/>
    <w:rsid w:val="16434BE8"/>
    <w:rsid w:val="164B075C"/>
    <w:rsid w:val="1679120D"/>
    <w:rsid w:val="16905673"/>
    <w:rsid w:val="16A16776"/>
    <w:rsid w:val="16D53190"/>
    <w:rsid w:val="17923E1F"/>
    <w:rsid w:val="18615BD7"/>
    <w:rsid w:val="18981626"/>
    <w:rsid w:val="18F64AF9"/>
    <w:rsid w:val="19047C8D"/>
    <w:rsid w:val="194A6C77"/>
    <w:rsid w:val="19536CE3"/>
    <w:rsid w:val="199E19B7"/>
    <w:rsid w:val="19E97EF6"/>
    <w:rsid w:val="1AD5450E"/>
    <w:rsid w:val="1AE50095"/>
    <w:rsid w:val="1B0F120A"/>
    <w:rsid w:val="1B571794"/>
    <w:rsid w:val="1B5A37FF"/>
    <w:rsid w:val="1B86465D"/>
    <w:rsid w:val="1BBF03B3"/>
    <w:rsid w:val="1CA3320C"/>
    <w:rsid w:val="1CBB00AD"/>
    <w:rsid w:val="1CE728EF"/>
    <w:rsid w:val="1D0A46F2"/>
    <w:rsid w:val="1D1A5A96"/>
    <w:rsid w:val="1D4D02E6"/>
    <w:rsid w:val="1D5B36D0"/>
    <w:rsid w:val="1D5C2624"/>
    <w:rsid w:val="1D682B30"/>
    <w:rsid w:val="1DB25AD9"/>
    <w:rsid w:val="1DE46446"/>
    <w:rsid w:val="1DF73D6A"/>
    <w:rsid w:val="1E5977FF"/>
    <w:rsid w:val="1F3A7959"/>
    <w:rsid w:val="1F6362C4"/>
    <w:rsid w:val="1F6E6196"/>
    <w:rsid w:val="1F9602F0"/>
    <w:rsid w:val="1FA27BA9"/>
    <w:rsid w:val="1FB8388A"/>
    <w:rsid w:val="1FD5725B"/>
    <w:rsid w:val="20050F14"/>
    <w:rsid w:val="202A65C1"/>
    <w:rsid w:val="202F2774"/>
    <w:rsid w:val="210D7D57"/>
    <w:rsid w:val="212A6AF6"/>
    <w:rsid w:val="214F15EE"/>
    <w:rsid w:val="21743BA5"/>
    <w:rsid w:val="21A400DF"/>
    <w:rsid w:val="21BA64B6"/>
    <w:rsid w:val="21E92465"/>
    <w:rsid w:val="22230A50"/>
    <w:rsid w:val="22325243"/>
    <w:rsid w:val="223B40EE"/>
    <w:rsid w:val="22501779"/>
    <w:rsid w:val="231E3BEF"/>
    <w:rsid w:val="23DC42C8"/>
    <w:rsid w:val="2429502B"/>
    <w:rsid w:val="24343AD6"/>
    <w:rsid w:val="245B57F8"/>
    <w:rsid w:val="24AF58AD"/>
    <w:rsid w:val="24CB5511"/>
    <w:rsid w:val="24E42221"/>
    <w:rsid w:val="257221AF"/>
    <w:rsid w:val="25C40FEC"/>
    <w:rsid w:val="25C42219"/>
    <w:rsid w:val="25CB7D20"/>
    <w:rsid w:val="265618FD"/>
    <w:rsid w:val="2696151F"/>
    <w:rsid w:val="269E528A"/>
    <w:rsid w:val="26D33A93"/>
    <w:rsid w:val="26D66F92"/>
    <w:rsid w:val="27045505"/>
    <w:rsid w:val="27327E8D"/>
    <w:rsid w:val="274A438C"/>
    <w:rsid w:val="274D55D8"/>
    <w:rsid w:val="278F151B"/>
    <w:rsid w:val="278F7912"/>
    <w:rsid w:val="279E7D4B"/>
    <w:rsid w:val="27A92402"/>
    <w:rsid w:val="27E753AC"/>
    <w:rsid w:val="27EB6B0F"/>
    <w:rsid w:val="28303D54"/>
    <w:rsid w:val="28507A98"/>
    <w:rsid w:val="287B2F78"/>
    <w:rsid w:val="28B42BDD"/>
    <w:rsid w:val="28F91AA0"/>
    <w:rsid w:val="291B2CB9"/>
    <w:rsid w:val="2945790F"/>
    <w:rsid w:val="295179C5"/>
    <w:rsid w:val="295E2B42"/>
    <w:rsid w:val="295F7A25"/>
    <w:rsid w:val="296C186D"/>
    <w:rsid w:val="2A222DCB"/>
    <w:rsid w:val="2B4C15EC"/>
    <w:rsid w:val="2C4C4A56"/>
    <w:rsid w:val="2CDA53F0"/>
    <w:rsid w:val="2D623234"/>
    <w:rsid w:val="2D8545B0"/>
    <w:rsid w:val="2D9D36CB"/>
    <w:rsid w:val="2DB71948"/>
    <w:rsid w:val="2DDA0B62"/>
    <w:rsid w:val="2E2C6AD8"/>
    <w:rsid w:val="2E4A7750"/>
    <w:rsid w:val="2E75709E"/>
    <w:rsid w:val="2F8B37F4"/>
    <w:rsid w:val="2FDC7B33"/>
    <w:rsid w:val="30070522"/>
    <w:rsid w:val="30263C34"/>
    <w:rsid w:val="30F47E95"/>
    <w:rsid w:val="30FA729C"/>
    <w:rsid w:val="31CB7D73"/>
    <w:rsid w:val="321104D5"/>
    <w:rsid w:val="32481C90"/>
    <w:rsid w:val="32737DDE"/>
    <w:rsid w:val="328441C8"/>
    <w:rsid w:val="32A52E99"/>
    <w:rsid w:val="32F05639"/>
    <w:rsid w:val="338A75EE"/>
    <w:rsid w:val="339574AA"/>
    <w:rsid w:val="33AF4FA9"/>
    <w:rsid w:val="33C73233"/>
    <w:rsid w:val="34870EC9"/>
    <w:rsid w:val="35572791"/>
    <w:rsid w:val="357168A3"/>
    <w:rsid w:val="359B57A7"/>
    <w:rsid w:val="35A060F8"/>
    <w:rsid w:val="35FA21F2"/>
    <w:rsid w:val="365B2880"/>
    <w:rsid w:val="367D3FF8"/>
    <w:rsid w:val="368C5C08"/>
    <w:rsid w:val="36A54696"/>
    <w:rsid w:val="36F01B98"/>
    <w:rsid w:val="370E2C86"/>
    <w:rsid w:val="376E2851"/>
    <w:rsid w:val="388D6840"/>
    <w:rsid w:val="389B6F39"/>
    <w:rsid w:val="38CF5B6D"/>
    <w:rsid w:val="394B2AF9"/>
    <w:rsid w:val="39556122"/>
    <w:rsid w:val="39655A9B"/>
    <w:rsid w:val="39D70A69"/>
    <w:rsid w:val="3A9F242C"/>
    <w:rsid w:val="3AE436C2"/>
    <w:rsid w:val="3B14391C"/>
    <w:rsid w:val="3B8D4B85"/>
    <w:rsid w:val="3CB10A2D"/>
    <w:rsid w:val="3CCC1C0C"/>
    <w:rsid w:val="3CEC7469"/>
    <w:rsid w:val="3D110AE5"/>
    <w:rsid w:val="3D661F42"/>
    <w:rsid w:val="3DDF541E"/>
    <w:rsid w:val="3E910E65"/>
    <w:rsid w:val="3EA47F4F"/>
    <w:rsid w:val="3EA50863"/>
    <w:rsid w:val="3ECC43A7"/>
    <w:rsid w:val="3F9D3A1E"/>
    <w:rsid w:val="3FC0722F"/>
    <w:rsid w:val="3FD25B24"/>
    <w:rsid w:val="40476AA7"/>
    <w:rsid w:val="40A379CA"/>
    <w:rsid w:val="40B872CD"/>
    <w:rsid w:val="415C4818"/>
    <w:rsid w:val="419B0454"/>
    <w:rsid w:val="42230570"/>
    <w:rsid w:val="422B2CB1"/>
    <w:rsid w:val="42312F30"/>
    <w:rsid w:val="423A39EC"/>
    <w:rsid w:val="42532E3B"/>
    <w:rsid w:val="426F4011"/>
    <w:rsid w:val="431E6E85"/>
    <w:rsid w:val="43494D9E"/>
    <w:rsid w:val="43971A09"/>
    <w:rsid w:val="439F4433"/>
    <w:rsid w:val="43FE28FF"/>
    <w:rsid w:val="44084AA8"/>
    <w:rsid w:val="441D374E"/>
    <w:rsid w:val="44446D40"/>
    <w:rsid w:val="44C65CA6"/>
    <w:rsid w:val="452307CF"/>
    <w:rsid w:val="45401C13"/>
    <w:rsid w:val="45B46FE4"/>
    <w:rsid w:val="45C4776A"/>
    <w:rsid w:val="46561E2E"/>
    <w:rsid w:val="4664255A"/>
    <w:rsid w:val="46CE3A79"/>
    <w:rsid w:val="46CF1FB5"/>
    <w:rsid w:val="46EB2D72"/>
    <w:rsid w:val="4700343D"/>
    <w:rsid w:val="470B3BCB"/>
    <w:rsid w:val="475A7779"/>
    <w:rsid w:val="47612221"/>
    <w:rsid w:val="48432108"/>
    <w:rsid w:val="4873123C"/>
    <w:rsid w:val="48F63320"/>
    <w:rsid w:val="490F6A60"/>
    <w:rsid w:val="49216CF6"/>
    <w:rsid w:val="4947070C"/>
    <w:rsid w:val="49794EBF"/>
    <w:rsid w:val="49BB4DA1"/>
    <w:rsid w:val="49C662B6"/>
    <w:rsid w:val="49F36031"/>
    <w:rsid w:val="4A4B4655"/>
    <w:rsid w:val="4A753B8B"/>
    <w:rsid w:val="4AAA71D6"/>
    <w:rsid w:val="4AE526F9"/>
    <w:rsid w:val="4B503068"/>
    <w:rsid w:val="4B5D2F2E"/>
    <w:rsid w:val="4B8C0B89"/>
    <w:rsid w:val="4BC24172"/>
    <w:rsid w:val="4BE644D3"/>
    <w:rsid w:val="4C93237B"/>
    <w:rsid w:val="4CBC6D47"/>
    <w:rsid w:val="4CF4064F"/>
    <w:rsid w:val="4D166D05"/>
    <w:rsid w:val="4D2F3CD2"/>
    <w:rsid w:val="4DFB2B41"/>
    <w:rsid w:val="4E070CEC"/>
    <w:rsid w:val="4F26525E"/>
    <w:rsid w:val="4F3542E9"/>
    <w:rsid w:val="4F763003"/>
    <w:rsid w:val="4F7A0E75"/>
    <w:rsid w:val="4FD51AD8"/>
    <w:rsid w:val="4FDE1D02"/>
    <w:rsid w:val="501F0078"/>
    <w:rsid w:val="505C7600"/>
    <w:rsid w:val="509A416A"/>
    <w:rsid w:val="50CD5667"/>
    <w:rsid w:val="50F57EDB"/>
    <w:rsid w:val="512C7684"/>
    <w:rsid w:val="513F3917"/>
    <w:rsid w:val="51797018"/>
    <w:rsid w:val="517B7FDE"/>
    <w:rsid w:val="51B33EBA"/>
    <w:rsid w:val="52155DBE"/>
    <w:rsid w:val="524637C2"/>
    <w:rsid w:val="524B1D81"/>
    <w:rsid w:val="524B21B0"/>
    <w:rsid w:val="52525C01"/>
    <w:rsid w:val="525462A8"/>
    <w:rsid w:val="528A32C0"/>
    <w:rsid w:val="52973227"/>
    <w:rsid w:val="52D1251A"/>
    <w:rsid w:val="52E03B22"/>
    <w:rsid w:val="5329585D"/>
    <w:rsid w:val="53296EB1"/>
    <w:rsid w:val="538710F6"/>
    <w:rsid w:val="53BA541F"/>
    <w:rsid w:val="53F43FF5"/>
    <w:rsid w:val="54060C41"/>
    <w:rsid w:val="549C1DE0"/>
    <w:rsid w:val="54D32316"/>
    <w:rsid w:val="54D3454E"/>
    <w:rsid w:val="54DA6E5C"/>
    <w:rsid w:val="553A7075"/>
    <w:rsid w:val="555F0CDD"/>
    <w:rsid w:val="56550159"/>
    <w:rsid w:val="56981143"/>
    <w:rsid w:val="57D82106"/>
    <w:rsid w:val="57F4091C"/>
    <w:rsid w:val="58141187"/>
    <w:rsid w:val="5867015C"/>
    <w:rsid w:val="58836DAC"/>
    <w:rsid w:val="58DD71BE"/>
    <w:rsid w:val="58EB446C"/>
    <w:rsid w:val="59E410CF"/>
    <w:rsid w:val="59F72B7D"/>
    <w:rsid w:val="5A0F62DF"/>
    <w:rsid w:val="5A291A28"/>
    <w:rsid w:val="5AAA64D8"/>
    <w:rsid w:val="5AC82435"/>
    <w:rsid w:val="5AF17075"/>
    <w:rsid w:val="5B547B74"/>
    <w:rsid w:val="5BBD0263"/>
    <w:rsid w:val="5BE94BED"/>
    <w:rsid w:val="5C8175B0"/>
    <w:rsid w:val="5CA93B25"/>
    <w:rsid w:val="5CCD0429"/>
    <w:rsid w:val="5D0B064B"/>
    <w:rsid w:val="5D154E1D"/>
    <w:rsid w:val="5DD50AE5"/>
    <w:rsid w:val="5DF32582"/>
    <w:rsid w:val="5E3B5946"/>
    <w:rsid w:val="5E47388D"/>
    <w:rsid w:val="5E973116"/>
    <w:rsid w:val="5EF852EA"/>
    <w:rsid w:val="5F3B53AC"/>
    <w:rsid w:val="5F440704"/>
    <w:rsid w:val="5F7048F4"/>
    <w:rsid w:val="5F921ACB"/>
    <w:rsid w:val="5F98156A"/>
    <w:rsid w:val="5FBB4F52"/>
    <w:rsid w:val="5FBC503A"/>
    <w:rsid w:val="5FD402AD"/>
    <w:rsid w:val="60491A06"/>
    <w:rsid w:val="605A0760"/>
    <w:rsid w:val="607A6D8C"/>
    <w:rsid w:val="608C7450"/>
    <w:rsid w:val="60C50B18"/>
    <w:rsid w:val="60D06CB1"/>
    <w:rsid w:val="60D13852"/>
    <w:rsid w:val="60FC121D"/>
    <w:rsid w:val="60FD153A"/>
    <w:rsid w:val="610B4686"/>
    <w:rsid w:val="611D55EC"/>
    <w:rsid w:val="613F3CA5"/>
    <w:rsid w:val="615A60E7"/>
    <w:rsid w:val="61833080"/>
    <w:rsid w:val="61952578"/>
    <w:rsid w:val="61975AB4"/>
    <w:rsid w:val="62246EE4"/>
    <w:rsid w:val="624F3D7E"/>
    <w:rsid w:val="625B7975"/>
    <w:rsid w:val="62902DDA"/>
    <w:rsid w:val="62F1694D"/>
    <w:rsid w:val="62F45D07"/>
    <w:rsid w:val="630F2B81"/>
    <w:rsid w:val="635F2B50"/>
    <w:rsid w:val="63654324"/>
    <w:rsid w:val="63706AB4"/>
    <w:rsid w:val="639B5131"/>
    <w:rsid w:val="63E64C17"/>
    <w:rsid w:val="64AE30EC"/>
    <w:rsid w:val="64F30ACA"/>
    <w:rsid w:val="656700D8"/>
    <w:rsid w:val="65A40C6D"/>
    <w:rsid w:val="65DC6A34"/>
    <w:rsid w:val="65E04937"/>
    <w:rsid w:val="662C6258"/>
    <w:rsid w:val="66374D58"/>
    <w:rsid w:val="66846A00"/>
    <w:rsid w:val="66A17D89"/>
    <w:rsid w:val="66BC0940"/>
    <w:rsid w:val="66C02EA6"/>
    <w:rsid w:val="66D51BCB"/>
    <w:rsid w:val="67316659"/>
    <w:rsid w:val="674003E8"/>
    <w:rsid w:val="67A51CA0"/>
    <w:rsid w:val="68244607"/>
    <w:rsid w:val="682602E7"/>
    <w:rsid w:val="68267A4E"/>
    <w:rsid w:val="682D1F1B"/>
    <w:rsid w:val="68377814"/>
    <w:rsid w:val="68386C96"/>
    <w:rsid w:val="68747A35"/>
    <w:rsid w:val="687551BB"/>
    <w:rsid w:val="68A703D5"/>
    <w:rsid w:val="68E410CB"/>
    <w:rsid w:val="691C6C5E"/>
    <w:rsid w:val="69316497"/>
    <w:rsid w:val="693648FC"/>
    <w:rsid w:val="6A0940F4"/>
    <w:rsid w:val="6A0F2F0D"/>
    <w:rsid w:val="6A647033"/>
    <w:rsid w:val="6A822967"/>
    <w:rsid w:val="6A973E08"/>
    <w:rsid w:val="6AC44934"/>
    <w:rsid w:val="6AEA2B90"/>
    <w:rsid w:val="6B3D3F01"/>
    <w:rsid w:val="6B4B3FC4"/>
    <w:rsid w:val="6B7657B0"/>
    <w:rsid w:val="6C3353A4"/>
    <w:rsid w:val="6CB65FB3"/>
    <w:rsid w:val="6CD14C3F"/>
    <w:rsid w:val="6D494776"/>
    <w:rsid w:val="6D9D7348"/>
    <w:rsid w:val="6E4059F7"/>
    <w:rsid w:val="6E47483B"/>
    <w:rsid w:val="6EF15EAD"/>
    <w:rsid w:val="6EFF1A17"/>
    <w:rsid w:val="706C0DCF"/>
    <w:rsid w:val="707E7670"/>
    <w:rsid w:val="70D72202"/>
    <w:rsid w:val="70E123F7"/>
    <w:rsid w:val="71182E49"/>
    <w:rsid w:val="71B31CCF"/>
    <w:rsid w:val="71E1240C"/>
    <w:rsid w:val="72087816"/>
    <w:rsid w:val="72752600"/>
    <w:rsid w:val="7293750B"/>
    <w:rsid w:val="729477C9"/>
    <w:rsid w:val="72BB391A"/>
    <w:rsid w:val="72BE08D7"/>
    <w:rsid w:val="72E6098D"/>
    <w:rsid w:val="730219A0"/>
    <w:rsid w:val="7416737C"/>
    <w:rsid w:val="74234884"/>
    <w:rsid w:val="747A53BE"/>
    <w:rsid w:val="74813946"/>
    <w:rsid w:val="74EF2285"/>
    <w:rsid w:val="752B4BF2"/>
    <w:rsid w:val="754C0172"/>
    <w:rsid w:val="755F1B39"/>
    <w:rsid w:val="766F78E6"/>
    <w:rsid w:val="767F4D6D"/>
    <w:rsid w:val="769E3A00"/>
    <w:rsid w:val="76A259CB"/>
    <w:rsid w:val="77275570"/>
    <w:rsid w:val="776B4FD0"/>
    <w:rsid w:val="779D1FF9"/>
    <w:rsid w:val="77C958C8"/>
    <w:rsid w:val="77FD1F51"/>
    <w:rsid w:val="784C3330"/>
    <w:rsid w:val="78641BB1"/>
    <w:rsid w:val="78E50499"/>
    <w:rsid w:val="78F40261"/>
    <w:rsid w:val="792B5AF8"/>
    <w:rsid w:val="79AD6866"/>
    <w:rsid w:val="7A306888"/>
    <w:rsid w:val="7ADC7203"/>
    <w:rsid w:val="7ADD4707"/>
    <w:rsid w:val="7AF70E8D"/>
    <w:rsid w:val="7B057DCB"/>
    <w:rsid w:val="7B36182E"/>
    <w:rsid w:val="7B410996"/>
    <w:rsid w:val="7B7E38FA"/>
    <w:rsid w:val="7BA66787"/>
    <w:rsid w:val="7C3A2DA4"/>
    <w:rsid w:val="7C3E46C1"/>
    <w:rsid w:val="7C4957D1"/>
    <w:rsid w:val="7C957F6F"/>
    <w:rsid w:val="7CB86FA6"/>
    <w:rsid w:val="7CF95183"/>
    <w:rsid w:val="7D275E5D"/>
    <w:rsid w:val="7D43101F"/>
    <w:rsid w:val="7DA95EED"/>
    <w:rsid w:val="7DBA31D6"/>
    <w:rsid w:val="7E25135B"/>
    <w:rsid w:val="7E5A5105"/>
    <w:rsid w:val="7E662866"/>
    <w:rsid w:val="7E800B6B"/>
    <w:rsid w:val="7E93714F"/>
    <w:rsid w:val="7EB8134A"/>
    <w:rsid w:val="7EF16BD6"/>
    <w:rsid w:val="7F802E7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qFormat="1"/>
    <w:lsdException w:name="Body Text Indent" w:semiHidden="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nhideWhenUsed="0" w:qFormat="1"/>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next w:val="CharCharChar"/>
    <w:uiPriority w:val="99"/>
    <w:unhideWhenUsed/>
    <w:qFormat/>
    <w:pPr>
      <w:widowControl w:val="0"/>
      <w:spacing w:after="120" w:line="240" w:lineRule="auto"/>
    </w:pPr>
  </w:style>
  <w:style w:type="paragraph" w:customStyle="1" w:styleId="CharCharChar">
    <w:name w:val="正文部分 Char Char Char"/>
    <w:basedOn w:val="BodyText"/>
    <w:next w:val="a"/>
    <w:uiPriority w:val="99"/>
    <w:qFormat/>
    <w:pPr>
      <w:adjustRightInd w:val="0"/>
      <w:snapToGrid w:val="0"/>
      <w:spacing w:line="460" w:lineRule="exact"/>
      <w:textAlignment w:val="baseline"/>
    </w:pPr>
    <w:rPr>
      <w:sz w:val="24"/>
    </w:rPr>
  </w:style>
  <w:style w:type="paragraph" w:customStyle="1" w:styleId="a">
    <w:name w:val="章标题"/>
    <w:basedOn w:val="Title"/>
    <w:uiPriority w:val="99"/>
    <w:qFormat/>
    <w:pPr>
      <w:spacing w:line="360" w:lineRule="auto"/>
    </w:pPr>
  </w:style>
  <w:style w:type="paragraph" w:styleId="Title">
    <w:name w:val="Title"/>
    <w:basedOn w:val="Normal"/>
    <w:next w:val="Normal"/>
    <w:uiPriority w:val="99"/>
    <w:qFormat/>
    <w:pPr>
      <w:spacing w:before="240" w:after="60"/>
      <w:jc w:val="center"/>
      <w:outlineLvl w:val="0"/>
    </w:pPr>
    <w:rPr>
      <w:rFonts w:ascii="Cambria" w:hAnsi="Cambria"/>
      <w:b/>
      <w:bCs/>
      <w:kern w:val="0"/>
      <w:szCs w:val="32"/>
    </w:rPr>
  </w:style>
  <w:style w:type="paragraph" w:styleId="BodyTextIndent">
    <w:name w:val="Body Text Indent"/>
    <w:basedOn w:val="Normal"/>
    <w:uiPriority w:val="99"/>
    <w:qFormat/>
    <w:pPr>
      <w:ind w:firstLine="570"/>
    </w:pPr>
    <w:rPr>
      <w:kern w:val="0"/>
      <w:sz w:val="20"/>
      <w:szCs w:val="20"/>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qFormat/>
    <w:pPr>
      <w:widowControl/>
      <w:spacing w:before="100" w:beforeAutospacing="1" w:after="100" w:afterAutospacing="1"/>
      <w:jc w:val="left"/>
    </w:pPr>
    <w:rPr>
      <w:rFonts w:ascii="宋体" w:hAnsi="宋体"/>
      <w:kern w:val="0"/>
      <w:sz w:val="24"/>
      <w:szCs w:val="24"/>
    </w:rPr>
  </w:style>
  <w:style w:type="paragraph" w:styleId="BodyTextFirstIndent2">
    <w:name w:val="Body Text First Indent 2"/>
    <w:basedOn w:val="BodyTextIndent"/>
    <w:uiPriority w:val="99"/>
    <w:qFormat/>
    <w:pPr>
      <w:ind w:left="420" w:firstLine="420" w:leftChars="200" w:firstLineChars="200"/>
    </w:pPr>
    <w:rPr>
      <w:rFonts w:ascii="Times New Roman" w:hAnsi="Times New Roman"/>
    </w:rPr>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情何以堪</dc:creator>
  <cp:lastModifiedBy>Administrator</cp:lastModifiedBy>
  <cp:revision>1</cp:revision>
  <cp:lastPrinted>2022-03-10T02:20:00Z</cp:lastPrinted>
  <dcterms:created xsi:type="dcterms:W3CDTF">2021-12-29T09:01:00Z</dcterms:created>
  <dcterms:modified xsi:type="dcterms:W3CDTF">2022-03-10T02:49:42Z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432DAF8E4F0F4EF5AB7CE9740A086205</vt:lpwstr>
  </property>
  <property fmtid="{D5CDD505-2E9C-101B-9397-08002B2CF9AE}" pid="3" name="KSOProductBuildVer">
    <vt:lpwstr>2052-11.1.0.10314</vt:lpwstr>
  </property>
</Properties>
</file>