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rPr>
          <w:rFonts w:ascii="宋体" w:hAnsi="宋体"/>
          <w:b/>
          <w:sz w:val="44"/>
          <w:szCs w:val="44"/>
        </w:rPr>
      </w:pPr>
      <w:bookmarkStart w:id="0" w:name="_GoBack"/>
      <w:bookmarkEnd w:id="0"/>
      <w:r>
        <w:rPr>
          <w:rFonts w:ascii="宋体" w:hAnsi="宋体" w:hint="eastAsia"/>
          <w:b/>
          <w:sz w:val="44"/>
          <w:szCs w:val="44"/>
        </w:rPr>
        <w:t>2022年宽城县政府预算公开目录</w:t>
      </w:r>
    </w:p>
    <w:p>
      <w:pPr>
        <w:jc w:val="center"/>
        <w:rPr>
          <w:rFonts w:ascii="宋体" w:hAnsi="宋体"/>
          <w:b/>
          <w:sz w:val="44"/>
          <w:szCs w:val="44"/>
        </w:rPr>
      </w:pPr>
    </w:p>
    <w:p>
      <w:pPr>
        <w:spacing w:line="600" w:lineRule="exact"/>
        <w:jc w:val="left"/>
        <w:rPr>
          <w:rFonts w:ascii="仿宋_GB2312" w:eastAsia="仿宋_GB2312"/>
          <w:sz w:val="32"/>
          <w:szCs w:val="32"/>
        </w:rPr>
      </w:pPr>
      <w:r>
        <w:rPr>
          <w:rFonts w:ascii="黑体" w:eastAsia="黑体" w:hAnsi="黑体" w:hint="eastAsia"/>
          <w:sz w:val="32"/>
          <w:szCs w:val="32"/>
        </w:rPr>
        <w:t>一、宽城县2021年财政预算执行和2022年财政预算草案的报告</w:t>
      </w:r>
      <w:r>
        <w:rPr>
          <w:rFonts w:ascii="方正仿宋_GBK" w:eastAsia="方正仿宋_GBK" w:hAnsi="宋体" w:hint="eastAsia"/>
          <w:b/>
          <w:sz w:val="32"/>
          <w:szCs w:val="32"/>
        </w:rPr>
        <w:t>（</w:t>
      </w:r>
      <w:r>
        <w:rPr>
          <w:rFonts w:ascii="仿宋_GB2312" w:eastAsia="仿宋_GB2312" w:hint="eastAsia"/>
          <w:sz w:val="32"/>
          <w:szCs w:val="32"/>
        </w:rPr>
        <w:t>2022年1月27日在宽城满族自治县第八届人民代表大会第二次会议上</w:t>
      </w:r>
      <w:r>
        <w:rPr>
          <w:rFonts w:ascii="方正仿宋_GBK" w:eastAsia="方正仿宋_GBK" w:hAnsi="宋体" w:hint="eastAsia"/>
          <w:b/>
          <w:sz w:val="32"/>
          <w:szCs w:val="32"/>
        </w:rPr>
        <w:t>）</w:t>
      </w:r>
    </w:p>
    <w:p>
      <w:pPr>
        <w:adjustRightInd w:val="0"/>
        <w:snapToGrid w:val="0"/>
        <w:spacing w:line="560" w:lineRule="exact"/>
        <w:rPr>
          <w:rFonts w:ascii="黑体" w:eastAsia="黑体" w:hAnsi="黑体"/>
          <w:sz w:val="32"/>
          <w:szCs w:val="32"/>
        </w:rPr>
      </w:pPr>
      <w:r>
        <w:rPr>
          <w:rFonts w:ascii="黑体" w:eastAsia="黑体" w:hAnsi="黑体" w:hint="eastAsia"/>
          <w:sz w:val="32"/>
          <w:szCs w:val="32"/>
        </w:rPr>
        <w:t>二、2022年宽城县政府预算公开附表</w:t>
      </w:r>
    </w:p>
    <w:tbl>
      <w:tblPr>
        <w:tblStyle w:val="TableNormal"/>
        <w:tblW w:w="0" w:type="dxa"/>
        <w:tblInd w:w="108" w:type="dxa"/>
        <w:tblCellMar>
          <w:top w:w="0" w:type="dxa"/>
          <w:left w:w="108" w:type="dxa"/>
          <w:bottom w:w="0" w:type="dxa"/>
          <w:right w:w="108" w:type="dxa"/>
        </w:tblCellMar>
      </w:tblPr>
      <w:tblGrid>
        <w:gridCol w:w="9400"/>
      </w:tblGrid>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1、 一般公共预算收入表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2、一般公共预算支出表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3、一般公共预算本级支出表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4、一般公共预算本级基本支出表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 xml:space="preserve">5、一般公共预算税收返还、一般性和专项转移支付分地区安排情况表 </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6、一般公共预算专项转移支付分项目安排情况表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7、政府性基金预算收入表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8、政府性基金预算支出表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9、政府性基金预算本级支出表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10、政府性基金预算专项转移支付分地区安排情况表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11、政府性基金预算专项转移支付分项目安排情况表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12、国有资本经营预算收入表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13、国有资本经营预算支出表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14、国有资本经营预算本级支出表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15、国有资本经营预算专项转移支付分地区安排情况表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16、国有资本经营预算专项转移支付分项目安排情况表</w:t>
            </w:r>
          </w:p>
        </w:tc>
      </w:tr>
      <w:tr>
        <w:tblPrEx>
          <w:tblW w:w="0" w:type="dxa"/>
          <w:tblInd w:w="108" w:type="dxa"/>
          <w:tblCellMar>
            <w:top w:w="0" w:type="dxa"/>
            <w:left w:w="108" w:type="dxa"/>
            <w:bottom w:w="0" w:type="dxa"/>
            <w:right w:w="108" w:type="dxa"/>
          </w:tblCellMar>
        </w:tblPrEx>
        <w:trPr>
          <w:trHeight w:val="20"/>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17、社会保险基金预算收入表</w:t>
            </w:r>
          </w:p>
        </w:tc>
      </w:tr>
      <w:tr>
        <w:tblPrEx>
          <w:tblW w:w="0" w:type="dxa"/>
          <w:tblInd w:w="108" w:type="dxa"/>
          <w:tblCellMar>
            <w:top w:w="0" w:type="dxa"/>
            <w:left w:w="108" w:type="dxa"/>
            <w:bottom w:w="0" w:type="dxa"/>
            <w:right w:w="108" w:type="dxa"/>
          </w:tblCellMar>
        </w:tblPrEx>
        <w:trPr>
          <w:trHeight w:val="585"/>
        </w:trPr>
        <w:tc>
          <w:tcPr>
            <w:tcW w:w="0" w:type="auto"/>
            <w:tcBorders>
              <w:top w:val="nil"/>
              <w:left w:val="nil"/>
              <w:bottom w:val="nil"/>
              <w:right w:val="nil"/>
            </w:tcBorders>
            <w:noWrap/>
            <w:vAlign w:val="bottom"/>
          </w:tcPr>
          <w:p>
            <w:pPr>
              <w:widowControl/>
              <w:rPr>
                <w:rFonts w:ascii="方正仿宋_GBK" w:eastAsia="方正仿宋_GBK" w:hAnsi="宋体"/>
                <w:sz w:val="32"/>
                <w:szCs w:val="32"/>
              </w:rPr>
            </w:pPr>
            <w:r>
              <w:rPr>
                <w:rFonts w:ascii="方正仿宋_GBK" w:eastAsia="方正仿宋_GBK" w:hAnsi="宋体" w:hint="eastAsia"/>
                <w:sz w:val="32"/>
                <w:szCs w:val="32"/>
              </w:rPr>
              <w:t>18、社会保险基金预算支出表</w:t>
            </w:r>
          </w:p>
          <w:p>
            <w:pPr>
              <w:adjustRightInd w:val="0"/>
              <w:snapToGrid w:val="0"/>
              <w:spacing w:line="560" w:lineRule="exact"/>
              <w:rPr>
                <w:rFonts w:ascii="黑体" w:eastAsia="黑体" w:hAnsi="黑体"/>
                <w:sz w:val="32"/>
                <w:szCs w:val="32"/>
              </w:rPr>
            </w:pPr>
            <w:r>
              <w:rPr>
                <w:rFonts w:ascii="黑体" w:eastAsia="黑体" w:hAnsi="黑体" w:hint="eastAsia"/>
                <w:sz w:val="32"/>
                <w:szCs w:val="32"/>
              </w:rPr>
              <w:t>三、2022年政府预算公开情况说明</w:t>
            </w:r>
          </w:p>
          <w:p>
            <w:pPr>
              <w:widowControl/>
              <w:adjustRightInd w:val="0"/>
              <w:snapToGrid w:val="0"/>
              <w:spacing w:line="570" w:lineRule="exact"/>
              <w:rPr>
                <w:rFonts w:ascii="方正仿宋_GBK" w:eastAsia="方正仿宋_GBK" w:hAnsi="宋体"/>
                <w:sz w:val="32"/>
                <w:szCs w:val="32"/>
              </w:rPr>
            </w:pPr>
            <w:r>
              <w:rPr>
                <w:rFonts w:ascii="方正仿宋_GBK" w:eastAsia="方正仿宋_GBK" w:hAnsi="宋体" w:hint="eastAsia"/>
                <w:sz w:val="32"/>
                <w:szCs w:val="32"/>
              </w:rPr>
              <w:t>1、2022年宽城县预算公开“三公”经费说明</w:t>
            </w:r>
          </w:p>
          <w:p>
            <w:pPr>
              <w:widowControl/>
              <w:adjustRightInd w:val="0"/>
              <w:rPr>
                <w:rFonts w:ascii="方正仿宋_GBK" w:eastAsia="方正仿宋_GBK" w:hAnsi="宋体"/>
                <w:sz w:val="32"/>
                <w:szCs w:val="32"/>
              </w:rPr>
            </w:pPr>
            <w:r>
              <w:rPr>
                <w:rFonts w:ascii="方正仿宋_GBK" w:eastAsia="方正仿宋_GBK" w:hAnsi="宋体" w:hint="eastAsia"/>
                <w:sz w:val="32"/>
                <w:szCs w:val="32"/>
              </w:rPr>
              <w:t>2、2022年宽城县政府预算公开政府采购情况说明</w:t>
            </w:r>
          </w:p>
          <w:p>
            <w:pPr>
              <w:widowControl/>
              <w:adjustRightInd w:val="0"/>
              <w:rPr>
                <w:rFonts w:ascii="方正仿宋_GBK" w:eastAsia="方正仿宋_GBK" w:hAnsi="宋体"/>
                <w:sz w:val="32"/>
                <w:szCs w:val="32"/>
              </w:rPr>
            </w:pPr>
            <w:r>
              <w:rPr>
                <w:rFonts w:ascii="方正仿宋_GBK" w:eastAsia="方正仿宋_GBK" w:hAnsi="宋体" w:hint="eastAsia"/>
                <w:sz w:val="32"/>
                <w:szCs w:val="32"/>
              </w:rPr>
              <w:t>3、2022年宽城县对下转移支付项目绩效目标情况说明</w:t>
            </w:r>
          </w:p>
          <w:p>
            <w:pPr>
              <w:widowControl/>
              <w:adjustRightInd w:val="0"/>
              <w:rPr>
                <w:rFonts w:ascii="方正仿宋_GBK" w:eastAsia="方正仿宋_GBK" w:hAnsi="宋体"/>
                <w:sz w:val="32"/>
                <w:szCs w:val="32"/>
              </w:rPr>
            </w:pPr>
            <w:r>
              <w:rPr>
                <w:rFonts w:ascii="方正仿宋_GBK" w:eastAsia="方正仿宋_GBK" w:hAnsi="宋体" w:hint="eastAsia"/>
                <w:sz w:val="32"/>
                <w:szCs w:val="32"/>
              </w:rPr>
              <w:t>4、2022年宽城县绩效预算工作开展情况说明</w:t>
            </w:r>
          </w:p>
          <w:p>
            <w:pPr>
              <w:widowControl/>
              <w:adjustRightInd w:val="0"/>
              <w:rPr>
                <w:rFonts w:ascii="方正仿宋_GBK" w:eastAsia="方正仿宋_GBK" w:hAnsi="宋体"/>
                <w:sz w:val="32"/>
                <w:szCs w:val="32"/>
              </w:rPr>
            </w:pPr>
            <w:r>
              <w:rPr>
                <w:rFonts w:ascii="方正仿宋_GBK" w:eastAsia="方正仿宋_GBK" w:hAnsi="宋体" w:hint="eastAsia"/>
                <w:sz w:val="32"/>
                <w:szCs w:val="32"/>
              </w:rPr>
              <w:t>5、2022年宽城县重大政策和重点项目等绩效目标</w:t>
            </w:r>
          </w:p>
          <w:p>
            <w:pPr>
              <w:widowControl/>
              <w:adjustRightInd w:val="0"/>
              <w:rPr>
                <w:rFonts w:ascii="方正仿宋_GBK" w:eastAsia="方正仿宋_GBK" w:hAnsi="宋体"/>
                <w:sz w:val="32"/>
                <w:szCs w:val="32"/>
              </w:rPr>
            </w:pPr>
            <w:r>
              <w:rPr>
                <w:rFonts w:ascii="方正仿宋_GBK" w:eastAsia="方正仿宋_GBK" w:hAnsi="宋体" w:hint="eastAsia"/>
                <w:sz w:val="32"/>
                <w:szCs w:val="32"/>
              </w:rPr>
              <w:t>6、举借债务情况说明</w:t>
            </w:r>
          </w:p>
          <w:p>
            <w:pPr>
              <w:widowControl/>
              <w:rPr>
                <w:rFonts w:ascii="方正仿宋_GBK" w:eastAsia="方正仿宋_GBK" w:hAnsi="宋体"/>
                <w:b/>
                <w:sz w:val="32"/>
                <w:szCs w:val="32"/>
              </w:rPr>
            </w:pPr>
            <w:r>
              <w:rPr>
                <w:rFonts w:ascii="方正仿宋_GBK" w:eastAsia="方正仿宋_GBK" w:hAnsi="宋体" w:hint="eastAsia"/>
                <w:sz w:val="32"/>
                <w:szCs w:val="32"/>
              </w:rPr>
              <w:t>7、2022年预算批准日说明</w:t>
            </w:r>
          </w:p>
          <w:p>
            <w:pPr>
              <w:adjustRightInd w:val="0"/>
              <w:snapToGrid w:val="0"/>
              <w:spacing w:line="560" w:lineRule="exact"/>
              <w:rPr>
                <w:rFonts w:ascii="黑体" w:eastAsia="黑体" w:hAnsi="黑体"/>
                <w:sz w:val="32"/>
                <w:szCs w:val="32"/>
              </w:rPr>
            </w:pPr>
            <w:r>
              <w:rPr>
                <w:rFonts w:ascii="黑体" w:eastAsia="黑体" w:hAnsi="黑体" w:hint="eastAsia"/>
                <w:sz w:val="32"/>
                <w:szCs w:val="32"/>
              </w:rPr>
              <w:t>四、2022年宽城县政府债务公开情况表</w:t>
            </w:r>
          </w:p>
          <w:p>
            <w:pPr>
              <w:widowControl/>
              <w:rPr>
                <w:rFonts w:ascii="方正仿宋_GBK" w:eastAsia="方正仿宋_GBK" w:hAnsi="宋体"/>
                <w:sz w:val="32"/>
                <w:szCs w:val="32"/>
              </w:rPr>
            </w:pPr>
            <w:r>
              <w:rPr>
                <w:rFonts w:ascii="方正仿宋_GBK" w:eastAsia="方正仿宋_GBK" w:hAnsi="宋体" w:hint="eastAsia"/>
                <w:sz w:val="32"/>
                <w:szCs w:val="32"/>
              </w:rPr>
              <w:t>1、地方政府一般债务余额情况表</w:t>
            </w:r>
          </w:p>
          <w:p>
            <w:pPr>
              <w:widowControl/>
              <w:rPr>
                <w:rFonts w:ascii="方正仿宋_GBK" w:eastAsia="方正仿宋_GBK" w:hAnsi="宋体"/>
                <w:sz w:val="32"/>
                <w:szCs w:val="32"/>
              </w:rPr>
            </w:pPr>
            <w:r>
              <w:rPr>
                <w:rFonts w:ascii="方正仿宋_GBK" w:eastAsia="方正仿宋_GBK" w:hAnsi="宋体" w:hint="eastAsia"/>
                <w:sz w:val="32"/>
                <w:szCs w:val="32"/>
              </w:rPr>
              <w:t>2、地方政府专项债务余额情况表</w:t>
            </w:r>
          </w:p>
          <w:p>
            <w:pPr>
              <w:widowControl/>
              <w:rPr>
                <w:rFonts w:ascii="方正仿宋_GBK" w:eastAsia="方正仿宋_GBK" w:hAnsi="宋体"/>
                <w:sz w:val="32"/>
                <w:szCs w:val="32"/>
              </w:rPr>
            </w:pPr>
            <w:r>
              <w:rPr>
                <w:rFonts w:ascii="方正仿宋_GBK" w:eastAsia="方正仿宋_GBK" w:hAnsi="宋体" w:hint="eastAsia"/>
                <w:sz w:val="32"/>
                <w:szCs w:val="32"/>
              </w:rPr>
              <w:t>3、政府债务限额及余额预算情况表</w:t>
            </w:r>
          </w:p>
          <w:p>
            <w:pPr>
              <w:widowControl/>
              <w:rPr>
                <w:rFonts w:ascii="方正仿宋_GBK" w:eastAsia="方正仿宋_GBK" w:hAnsi="宋体"/>
                <w:sz w:val="32"/>
                <w:szCs w:val="32"/>
              </w:rPr>
            </w:pPr>
            <w:r>
              <w:rPr>
                <w:rFonts w:ascii="方正仿宋_GBK" w:eastAsia="方正仿宋_GBK" w:hAnsi="宋体" w:hint="eastAsia"/>
                <w:sz w:val="32"/>
                <w:szCs w:val="32"/>
              </w:rPr>
              <w:t>4、地方政府债券发行及还本付息情况表</w:t>
            </w:r>
          </w:p>
          <w:p>
            <w:pPr>
              <w:widowControl/>
              <w:rPr>
                <w:rFonts w:ascii="方正仿宋_GBK" w:eastAsia="方正仿宋_GBK" w:hAnsi="宋体"/>
                <w:sz w:val="32"/>
                <w:szCs w:val="32"/>
              </w:rPr>
            </w:pPr>
            <w:r>
              <w:rPr>
                <w:rFonts w:ascii="方正仿宋_GBK" w:eastAsia="方正仿宋_GBK" w:hAnsi="宋体" w:hint="eastAsia"/>
                <w:sz w:val="32"/>
                <w:szCs w:val="32"/>
              </w:rPr>
              <w:t>5、地方政府债务限额提前下达情况表</w:t>
            </w:r>
          </w:p>
          <w:p>
            <w:pPr>
              <w:widowControl/>
              <w:rPr>
                <w:rFonts w:ascii="方正仿宋_GBK" w:eastAsia="方正仿宋_GBK" w:hAnsi="宋体"/>
                <w:sz w:val="32"/>
                <w:szCs w:val="32"/>
              </w:rPr>
            </w:pPr>
            <w:r>
              <w:rPr>
                <w:rFonts w:ascii="方正仿宋_GBK" w:eastAsia="方正仿宋_GBK" w:hAnsi="宋体" w:hint="eastAsia"/>
                <w:sz w:val="32"/>
                <w:szCs w:val="32"/>
              </w:rPr>
              <w:t>6、再融资债券分月发行安排表</w:t>
            </w:r>
          </w:p>
          <w:p>
            <w:pPr>
              <w:widowControl/>
              <w:rPr>
                <w:rFonts w:ascii="方正仿宋_GBK" w:eastAsia="方正仿宋_GBK" w:hAnsi="宋体"/>
                <w:sz w:val="32"/>
                <w:szCs w:val="32"/>
              </w:rPr>
            </w:pPr>
            <w:r>
              <w:rPr>
                <w:rFonts w:ascii="方正仿宋_GBK" w:eastAsia="方正仿宋_GBK" w:hAnsi="宋体" w:hint="eastAsia"/>
                <w:sz w:val="32"/>
                <w:szCs w:val="32"/>
              </w:rPr>
              <w:t>7、新增地方政府债务资金安排表</w:t>
            </w:r>
          </w:p>
          <w:p>
            <w:pPr>
              <w:pStyle w:val="ListParagraph"/>
              <w:numPr>
                <w:ilvl w:val="0"/>
                <w:numId w:val="1"/>
              </w:numPr>
              <w:adjustRightInd w:val="0"/>
              <w:snapToGrid w:val="0"/>
              <w:spacing w:line="560" w:lineRule="exact"/>
              <w:ind w:firstLineChars="0"/>
              <w:rPr>
                <w:rFonts w:ascii="方正仿宋_GBK" w:eastAsia="方正仿宋_GBK" w:hAnsi="宋体"/>
                <w:b/>
                <w:sz w:val="32"/>
                <w:szCs w:val="32"/>
              </w:rPr>
            </w:pPr>
            <w:r>
              <w:rPr>
                <w:rFonts w:ascii="黑体" w:eastAsia="黑体" w:hAnsi="黑体" w:hint="eastAsia"/>
                <w:sz w:val="32"/>
                <w:szCs w:val="32"/>
              </w:rPr>
              <w:t>2022年政府债券存续期信息公开情况表</w:t>
            </w:r>
          </w:p>
        </w:tc>
      </w:tr>
    </w:tbl>
    <w:p>
      <w:pPr>
        <w:widowControl/>
        <w:adjustRightInd w:val="0"/>
        <w:snapToGrid w:val="0"/>
        <w:spacing w:line="570" w:lineRule="exact"/>
        <w:ind w:firstLine="160" w:firstLineChars="50"/>
        <w:rPr>
          <w:rFonts w:ascii="方正仿宋_GBK" w:eastAsia="方正仿宋_GBK" w:hAnsi="宋体"/>
          <w:sz w:val="32"/>
          <w:szCs w:val="32"/>
        </w:rPr>
      </w:pPr>
      <w:r>
        <w:rPr>
          <w:rFonts w:ascii="方正仿宋_GBK" w:eastAsia="方正仿宋_GBK" w:hAnsi="宋体" w:hint="eastAsia"/>
          <w:sz w:val="32"/>
          <w:szCs w:val="32"/>
        </w:rPr>
        <w:t>1、新增地方政府一般债券情况表</w:t>
      </w:r>
    </w:p>
    <w:p>
      <w:pPr>
        <w:widowControl/>
        <w:adjustRightInd w:val="0"/>
        <w:snapToGrid w:val="0"/>
        <w:spacing w:line="570" w:lineRule="exact"/>
        <w:ind w:firstLine="160" w:firstLineChars="50"/>
        <w:rPr>
          <w:rFonts w:ascii="方正仿宋_GBK" w:eastAsia="方正仿宋_GBK" w:hAnsi="宋体"/>
          <w:sz w:val="32"/>
          <w:szCs w:val="32"/>
        </w:rPr>
      </w:pPr>
      <w:r>
        <w:rPr>
          <w:rFonts w:ascii="方正仿宋_GBK" w:eastAsia="方正仿宋_GBK" w:hAnsi="宋体" w:hint="eastAsia"/>
          <w:sz w:val="32"/>
          <w:szCs w:val="32"/>
        </w:rPr>
        <w:t>2、新增地方政府一般债券资金收支情况表</w:t>
      </w:r>
    </w:p>
    <w:p>
      <w:pPr>
        <w:adjustRightInd w:val="0"/>
        <w:snapToGrid w:val="0"/>
        <w:spacing w:line="560" w:lineRule="exact"/>
        <w:rPr>
          <w:rFonts w:ascii="黑体" w:eastAsia="黑体" w:hAnsi="黑体"/>
          <w:sz w:val="32"/>
          <w:szCs w:val="32"/>
        </w:rPr>
      </w:pPr>
      <w:r>
        <w:rPr>
          <w:rFonts w:ascii="黑体" w:eastAsia="黑体" w:hAnsi="黑体" w:hint="eastAsia"/>
          <w:sz w:val="32"/>
          <w:szCs w:val="32"/>
        </w:rPr>
        <w:t>六、2022年宽城县政府预算公开其他需要说明的事项</w:t>
      </w:r>
    </w:p>
    <w:p>
      <w:pPr>
        <w:jc w:val="center"/>
        <w:rPr>
          <w:rFonts w:ascii="方正仿宋_GBK" w:eastAsia="方正仿宋_GBK"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spacing w:line="700" w:lineRule="exact"/>
        <w:rPr>
          <w:rFonts w:ascii="黑体" w:eastAsia="黑体" w:hAnsi="黑体"/>
          <w:b/>
          <w:bCs/>
          <w:sz w:val="30"/>
          <w:szCs w:val="30"/>
        </w:rPr>
      </w:pPr>
    </w:p>
    <w:p>
      <w:pPr>
        <w:spacing w:line="700" w:lineRule="exact"/>
        <w:rPr>
          <w:rFonts w:ascii="黑体" w:eastAsia="黑体" w:hAnsi="黑体"/>
          <w:b/>
          <w:bCs/>
          <w:sz w:val="30"/>
          <w:szCs w:val="30"/>
        </w:rPr>
      </w:pPr>
    </w:p>
    <w:p>
      <w:pPr>
        <w:spacing w:line="700" w:lineRule="exact"/>
        <w:rPr>
          <w:rFonts w:ascii="黑体" w:eastAsia="黑体" w:hAnsi="黑体"/>
          <w:b/>
          <w:bCs/>
          <w:sz w:val="30"/>
          <w:szCs w:val="30"/>
        </w:rPr>
      </w:pPr>
    </w:p>
    <w:p>
      <w:pPr>
        <w:spacing w:line="700" w:lineRule="exact"/>
        <w:ind w:firstLine="297" w:firstLineChars="99"/>
        <w:rPr>
          <w:rFonts w:ascii="黑体" w:eastAsia="黑体" w:hAnsi="黑体"/>
          <w:b/>
          <w:bCs/>
          <w:sz w:val="30"/>
          <w:szCs w:val="30"/>
        </w:rPr>
      </w:pPr>
      <w:r>
        <w:rPr>
          <w:rFonts w:ascii="黑体" w:eastAsia="黑体" w:hAnsi="黑体" w:hint="eastAsia"/>
          <w:b/>
          <w:bCs/>
          <w:sz w:val="30"/>
          <w:szCs w:val="30"/>
        </w:rPr>
        <w:t>自治县八届人大二次会议文件（17）</w:t>
      </w:r>
    </w:p>
    <w:p>
      <w:pPr>
        <w:spacing w:line="600" w:lineRule="exact"/>
        <w:jc w:val="center"/>
        <w:rPr>
          <w:rFonts w:ascii="宋体"/>
          <w:b/>
          <w:sz w:val="44"/>
          <w:szCs w:val="44"/>
        </w:rPr>
      </w:pPr>
    </w:p>
    <w:p>
      <w:pPr>
        <w:spacing w:line="600" w:lineRule="exact"/>
        <w:jc w:val="center"/>
        <w:rPr>
          <w:rFonts w:ascii="宋体"/>
          <w:b/>
          <w:sz w:val="44"/>
          <w:szCs w:val="44"/>
        </w:rPr>
      </w:pPr>
      <w:r>
        <w:rPr>
          <w:rFonts w:ascii="宋体" w:hAnsi="宋体" w:hint="eastAsia"/>
          <w:b/>
          <w:sz w:val="44"/>
          <w:szCs w:val="44"/>
        </w:rPr>
        <w:t>宽城满族自治县</w:t>
      </w:r>
    </w:p>
    <w:p>
      <w:pPr>
        <w:spacing w:line="600" w:lineRule="exact"/>
        <w:jc w:val="center"/>
        <w:rPr>
          <w:rFonts w:ascii="宋体"/>
          <w:b/>
          <w:sz w:val="44"/>
          <w:szCs w:val="44"/>
        </w:rPr>
      </w:pPr>
      <w:r>
        <w:rPr>
          <w:rFonts w:ascii="宋体" w:hAnsi="宋体" w:hint="eastAsia"/>
          <w:b/>
          <w:sz w:val="44"/>
          <w:szCs w:val="44"/>
        </w:rPr>
        <w:t>关于</w:t>
      </w:r>
      <w:r>
        <w:rPr>
          <w:rFonts w:ascii="宋体" w:hint="eastAsia"/>
          <w:b/>
          <w:sz w:val="44"/>
          <w:szCs w:val="44"/>
        </w:rPr>
        <w:t>2021年财政预算执行情况</w:t>
      </w:r>
      <w:r>
        <w:rPr>
          <w:rFonts w:ascii="宋体" w:hAnsi="宋体" w:hint="eastAsia"/>
          <w:b/>
          <w:sz w:val="44"/>
          <w:szCs w:val="44"/>
        </w:rPr>
        <w:t>及2022年财政预算（草案）的报告（书面）</w:t>
      </w:r>
    </w:p>
    <w:p>
      <w:pPr>
        <w:spacing w:line="600" w:lineRule="exact"/>
        <w:jc w:val="center"/>
        <w:rPr>
          <w:rFonts w:ascii="仿宋_GB2312"/>
          <w:sz w:val="32"/>
          <w:szCs w:val="32"/>
        </w:rPr>
      </w:pPr>
    </w:p>
    <w:p>
      <w:pPr>
        <w:spacing w:line="600" w:lineRule="exact"/>
        <w:jc w:val="center"/>
        <w:rPr>
          <w:rFonts w:ascii="仿宋_GB2312" w:eastAsia="仿宋_GB2312"/>
          <w:sz w:val="32"/>
          <w:szCs w:val="32"/>
        </w:rPr>
      </w:pPr>
      <w:r>
        <w:rPr>
          <w:rFonts w:ascii="仿宋_GB2312" w:eastAsia="仿宋_GB2312" w:hAnsi="仿宋" w:hint="eastAsia"/>
          <w:sz w:val="32"/>
          <w:szCs w:val="32"/>
        </w:rPr>
        <w:t>——</w:t>
      </w:r>
      <w:r>
        <w:rPr>
          <w:rFonts w:ascii="仿宋_GB2312" w:eastAsia="仿宋_GB2312" w:hint="eastAsia"/>
          <w:sz w:val="32"/>
          <w:szCs w:val="32"/>
        </w:rPr>
        <w:t>2022年1月27日在宽城满族自治县第八届</w:t>
      </w:r>
    </w:p>
    <w:p>
      <w:pPr>
        <w:spacing w:line="600" w:lineRule="exact"/>
        <w:jc w:val="center"/>
        <w:rPr>
          <w:rFonts w:ascii="仿宋_GB2312" w:eastAsia="仿宋_GB2312"/>
          <w:sz w:val="32"/>
          <w:szCs w:val="32"/>
        </w:rPr>
      </w:pPr>
      <w:r>
        <w:rPr>
          <w:rFonts w:ascii="仿宋_GB2312" w:eastAsia="仿宋_GB2312" w:hint="eastAsia"/>
          <w:sz w:val="32"/>
          <w:szCs w:val="32"/>
        </w:rPr>
        <w:t>人民代表大会第二次会议上</w:t>
      </w:r>
    </w:p>
    <w:p>
      <w:pPr>
        <w:spacing w:line="600" w:lineRule="exact"/>
        <w:jc w:val="center"/>
        <w:rPr>
          <w:rFonts w:ascii="仿宋_GB2312" w:eastAsia="仿宋_GB2312"/>
          <w:sz w:val="32"/>
          <w:szCs w:val="32"/>
        </w:rPr>
      </w:pPr>
      <w:r>
        <w:rPr>
          <w:rFonts w:ascii="仿宋_GB2312" w:eastAsia="仿宋_GB2312" w:hint="eastAsia"/>
          <w:sz w:val="32"/>
          <w:szCs w:val="32"/>
        </w:rPr>
        <w:t>宽城满族自治县财政局局长  徐振民</w:t>
      </w:r>
    </w:p>
    <w:p>
      <w:pPr>
        <w:spacing w:line="600" w:lineRule="exact"/>
        <w:rPr>
          <w:rFonts w:ascii="仿宋_GB2312" w:eastAsia="仿宋_GB2312"/>
          <w:sz w:val="32"/>
          <w:szCs w:val="32"/>
        </w:rPr>
      </w:pPr>
    </w:p>
    <w:p>
      <w:pPr>
        <w:spacing w:line="540" w:lineRule="exact"/>
        <w:rPr>
          <w:rFonts w:ascii="仿宋_GB2312" w:eastAsia="仿宋_GB2312"/>
          <w:sz w:val="32"/>
          <w:szCs w:val="32"/>
        </w:rPr>
      </w:pPr>
      <w:r>
        <w:rPr>
          <w:rFonts w:ascii="仿宋_GB2312" w:eastAsia="仿宋_GB2312" w:hint="eastAsia"/>
          <w:sz w:val="32"/>
          <w:szCs w:val="32"/>
        </w:rPr>
        <w:t>各位代表：</w:t>
      </w:r>
    </w:p>
    <w:p>
      <w:pPr>
        <w:spacing w:line="540" w:lineRule="exact"/>
        <w:ind w:firstLine="640" w:firstLineChars="200"/>
        <w:rPr>
          <w:rFonts w:ascii="仿宋_GB2312" w:eastAsia="仿宋_GB2312"/>
          <w:sz w:val="32"/>
          <w:szCs w:val="32"/>
        </w:rPr>
      </w:pPr>
      <w:r>
        <w:rPr>
          <w:rFonts w:ascii="仿宋_GB2312" w:eastAsia="仿宋_GB2312" w:hint="eastAsia"/>
          <w:sz w:val="32"/>
          <w:szCs w:val="32"/>
        </w:rPr>
        <w:t>受县人民政府委托，我向大会报告2021年财政预算执行情况及2022年预算（草案），请予审议，并请县政协委员和列席会议的同志提出意见。</w:t>
      </w:r>
    </w:p>
    <w:p>
      <w:pPr>
        <w:spacing w:line="540" w:lineRule="exact"/>
        <w:ind w:firstLine="640" w:firstLineChars="200"/>
        <w:rPr>
          <w:rFonts w:ascii="黑体" w:eastAsia="黑体" w:hAnsi="黑体"/>
          <w:sz w:val="32"/>
          <w:szCs w:val="32"/>
        </w:rPr>
      </w:pPr>
      <w:r>
        <w:rPr>
          <w:rFonts w:ascii="黑体" w:eastAsia="黑体" w:hAnsi="黑体" w:hint="eastAsia"/>
          <w:sz w:val="32"/>
          <w:szCs w:val="32"/>
        </w:rPr>
        <w:t>一、2021年预算执行情况</w:t>
      </w:r>
    </w:p>
    <w:p>
      <w:pPr>
        <w:spacing w:line="54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2021年，在县委的坚强领导下，在县人大、县政协和社会各界的监督支持下，面对经济下行压力的严峻考验以及还债高峰和资金调度困难的局面，县财政部门主动适应经济发展新常态，坚持稳中求进，稳中提质，切实履行职能，加强预算执行管理，持续保障和改善民生，积极培植财源，狠抓收入征管，优化支出结构，强化资金监管，财政运行总体平稳，较好地完成了各项工作任务，为全力促进县域经济社会健康发展提供了坚实财力保障。</w:t>
      </w:r>
    </w:p>
    <w:p>
      <w:pPr>
        <w:pStyle w:val="ListParagraph"/>
        <w:spacing w:line="540" w:lineRule="exact"/>
        <w:ind w:firstLine="643"/>
        <w:rPr>
          <w:rFonts w:ascii="仿宋_GB2312" w:eastAsia="仿宋_GB2312"/>
          <w:b/>
          <w:sz w:val="32"/>
          <w:szCs w:val="32"/>
        </w:rPr>
      </w:pPr>
      <w:r>
        <w:rPr>
          <w:rFonts w:ascii="楷体_GB2312" w:eastAsia="楷体_GB2312" w:hint="eastAsia"/>
          <w:b/>
          <w:sz w:val="32"/>
          <w:szCs w:val="32"/>
        </w:rPr>
        <w:t>（一）一般公共预算执行情况。</w:t>
      </w:r>
      <w:r>
        <w:rPr>
          <w:rFonts w:ascii="仿宋_GB2312" w:eastAsia="仿宋_GB2312" w:hAnsi="方正仿宋_GBK" w:cs="方正仿宋_GBK" w:hint="eastAsia"/>
          <w:bCs/>
          <w:sz w:val="32"/>
          <w:szCs w:val="32"/>
        </w:rPr>
        <w:t>2021年，全县全部财政收入完成370321万元，占年初计划的184.9%，同比增收94362万元，增长34.2%，其中：税收收入完成356593万元，占年初计划的189.4%，同比增收103166万元，增长40.7%；非税收入完成13728万元，占年初计划的114.4%，同比减收8804万元，减少39.1%。一般公共预算收入完成134121万元，同比增收17927万元，增长15.4%。全县一般公共预算支出预计完成291232万元（财政决算批复尚未下达，最终数据于财政总决算报告中予以报告），同比增支27.9%。</w:t>
      </w:r>
    </w:p>
    <w:p>
      <w:pPr>
        <w:pStyle w:val="ListParagraph"/>
        <w:spacing w:line="540" w:lineRule="exact"/>
        <w:ind w:firstLine="643"/>
        <w:rPr>
          <w:rFonts w:ascii="仿宋_GB2312" w:eastAsia="仿宋_GB2312" w:hAnsi="方正仿宋_GBK" w:cs="方正仿宋_GBK"/>
          <w:bCs/>
          <w:sz w:val="32"/>
          <w:szCs w:val="32"/>
        </w:rPr>
      </w:pPr>
      <w:r>
        <w:rPr>
          <w:rFonts w:ascii="楷体_GB2312" w:eastAsia="楷体_GB2312" w:hint="eastAsia"/>
          <w:b/>
          <w:sz w:val="32"/>
          <w:szCs w:val="32"/>
        </w:rPr>
        <w:t>（二）政府性基金预算执行情况。</w:t>
      </w:r>
      <w:r>
        <w:rPr>
          <w:rFonts w:ascii="仿宋_GB2312" w:eastAsia="仿宋_GB2312" w:hAnsi="方正仿宋_GBK" w:cs="方正仿宋_GBK" w:hint="eastAsia"/>
          <w:bCs/>
          <w:sz w:val="32"/>
          <w:szCs w:val="32"/>
        </w:rPr>
        <w:t>全县政府性基金收入完成8395万元，占年初计划的30%，同比减收17978万元，减少68.2%。全县政府性基金支出预计完成15285万元（财政决算批复尚未下达，最终数据于财政总决算报告中予以报告），同比减支53.9%。</w:t>
      </w:r>
    </w:p>
    <w:p>
      <w:pPr>
        <w:pStyle w:val="ListParagraph"/>
        <w:spacing w:line="540" w:lineRule="exact"/>
        <w:ind w:firstLine="643"/>
        <w:rPr>
          <w:rFonts w:ascii="仿宋_GB2312" w:eastAsia="仿宋_GB2312" w:hAnsi="方正仿宋_GBK" w:cs="方正仿宋_GBK"/>
          <w:bCs/>
          <w:sz w:val="32"/>
          <w:szCs w:val="32"/>
        </w:rPr>
      </w:pPr>
      <w:r>
        <w:rPr>
          <w:rFonts w:ascii="楷体_GB2312" w:eastAsia="楷体_GB2312" w:hint="eastAsia"/>
          <w:b/>
          <w:sz w:val="32"/>
          <w:szCs w:val="32"/>
        </w:rPr>
        <w:t>（三）国有资本经营预算支出执行情况。</w:t>
      </w:r>
      <w:r>
        <w:rPr>
          <w:rFonts w:ascii="仿宋_GB2312" w:eastAsia="仿宋_GB2312" w:hAnsi="方正仿宋_GBK" w:cs="方正仿宋_GBK" w:hint="eastAsia"/>
          <w:bCs/>
          <w:sz w:val="32"/>
          <w:szCs w:val="32"/>
        </w:rPr>
        <w:t>全县国有资本经营收入完成1195万元。全县国有资本经营支出完成1195万元，其中：上级补助支出18万元，国有资本经营调入一般公共预算1177万元。</w:t>
      </w:r>
    </w:p>
    <w:p>
      <w:pPr>
        <w:pStyle w:val="ListParagraph"/>
        <w:spacing w:line="540" w:lineRule="exact"/>
        <w:ind w:firstLine="643"/>
        <w:rPr>
          <w:rFonts w:ascii="仿宋_GB2312" w:eastAsia="仿宋_GB2312" w:hAnsi="方正仿宋_GBK" w:cs="方正仿宋_GBK"/>
          <w:bCs/>
          <w:sz w:val="32"/>
          <w:szCs w:val="32"/>
        </w:rPr>
      </w:pPr>
      <w:r>
        <w:rPr>
          <w:rFonts w:ascii="楷体_GB2312" w:eastAsia="楷体_GB2312" w:hint="eastAsia"/>
          <w:b/>
          <w:sz w:val="32"/>
          <w:szCs w:val="32"/>
        </w:rPr>
        <w:t>（四）社会保险基金预算执行情况。</w:t>
      </w:r>
      <w:r>
        <w:rPr>
          <w:rFonts w:ascii="仿宋_GB2312" w:eastAsia="仿宋_GB2312" w:hAnsi="方正仿宋_GBK" w:cs="方正仿宋_GBK" w:hint="eastAsia"/>
          <w:bCs/>
          <w:sz w:val="32"/>
          <w:szCs w:val="32"/>
        </w:rPr>
        <w:t>社会保险基金决算尚未完成，最终数据将于财政总决算报告中予以报告。</w:t>
      </w:r>
    </w:p>
    <w:p>
      <w:pPr>
        <w:spacing w:line="540" w:lineRule="exact"/>
        <w:ind w:firstLine="640" w:firstLineChars="200"/>
        <w:rPr>
          <w:rFonts w:ascii="黑体" w:eastAsia="黑体" w:hAnsi="黑体"/>
          <w:sz w:val="32"/>
          <w:szCs w:val="32"/>
        </w:rPr>
      </w:pPr>
      <w:r>
        <w:rPr>
          <w:rFonts w:ascii="黑体" w:eastAsia="黑体" w:hAnsi="黑体" w:hint="eastAsia"/>
          <w:bCs/>
          <w:sz w:val="32"/>
          <w:szCs w:val="32"/>
        </w:rPr>
        <w:t>二、</w:t>
      </w:r>
      <w:r>
        <w:rPr>
          <w:rFonts w:ascii="黑体" w:eastAsia="黑体" w:hAnsi="黑体" w:hint="eastAsia"/>
          <w:sz w:val="32"/>
          <w:szCs w:val="32"/>
        </w:rPr>
        <w:t xml:space="preserve">2021年财政主要工作 </w:t>
      </w:r>
    </w:p>
    <w:p>
      <w:pPr>
        <w:spacing w:line="540" w:lineRule="exact"/>
        <w:ind w:firstLine="640" w:firstLineChars="200"/>
        <w:rPr>
          <w:rFonts w:ascii="仿宋_GB2312" w:eastAsia="仿宋_GB2312" w:hAnsi="仿宋"/>
          <w:sz w:val="32"/>
          <w:szCs w:val="32"/>
        </w:rPr>
      </w:pPr>
      <w:r>
        <w:rPr>
          <w:rFonts w:ascii="楷体_GB2312" w:eastAsia="楷体_GB2312" w:hAnsi="宋体" w:hint="eastAsia"/>
          <w:b/>
          <w:sz w:val="32"/>
          <w:szCs w:val="32"/>
        </w:rPr>
        <w:t>（一）拓宽收入来源，攻坚克难聚财力。</w:t>
      </w:r>
      <w:r>
        <w:rPr>
          <w:rFonts w:ascii="仿宋_GB2312" w:eastAsia="仿宋_GB2312" w:hAnsi="仿宋" w:hint="eastAsia"/>
          <w:b/>
          <w:sz w:val="32"/>
          <w:szCs w:val="32"/>
        </w:rPr>
        <w:t>一是突出目标抓增收。</w:t>
      </w:r>
      <w:r>
        <w:rPr>
          <w:rFonts w:ascii="仿宋_GB2312" w:eastAsia="仿宋_GB2312" w:hAnsi="仿宋" w:hint="eastAsia"/>
          <w:sz w:val="32"/>
          <w:szCs w:val="32"/>
        </w:rPr>
        <w:t>把组织收入作为核心职能，努力克服两家钢厂关闭停产的不利影响，强化纳税评估和欠税清缴，加强对主体税种、重点行业、重点企业的监管，对全县税源企业抓大不放小，严格依法征收，确保应收尽收。2021年我县一般公共预算收入完成134121万元，同比增长15.4%，创历史最好水平；</w:t>
      </w:r>
      <w:r>
        <w:rPr>
          <w:rFonts w:ascii="仿宋_GB2312" w:eastAsia="仿宋_GB2312" w:hAnsi="仿宋" w:hint="eastAsia"/>
          <w:b/>
          <w:sz w:val="32"/>
          <w:szCs w:val="32"/>
        </w:rPr>
        <w:t>二是加大对上争取力度。</w:t>
      </w:r>
      <w:r>
        <w:rPr>
          <w:rFonts w:ascii="仿宋_GB2312" w:eastAsia="仿宋_GB2312" w:hAnsi="仿宋" w:hint="eastAsia"/>
          <w:sz w:val="32"/>
          <w:szCs w:val="32"/>
        </w:rPr>
        <w:t>全县各部门主动作为，认真研究财税政策，把握上级资金投向，全年共争取上级转移支付资金17亿元，其中财力性转移支付增量0.98亿元，为推动全县重点工作提供了坚实的财力保障。争取再融资债券14.2亿元，有效缓解了当期还本压力；</w:t>
      </w:r>
      <w:r>
        <w:rPr>
          <w:rFonts w:ascii="仿宋_GB2312" w:eastAsia="仿宋_GB2312" w:hAnsi="仿宋" w:hint="eastAsia"/>
          <w:b/>
          <w:sz w:val="32"/>
          <w:szCs w:val="32"/>
        </w:rPr>
        <w:t>三是加大调拨资金跑办力度。</w:t>
      </w:r>
      <w:r>
        <w:rPr>
          <w:rFonts w:ascii="仿宋_GB2312" w:eastAsia="仿宋_GB2312" w:hAnsi="仿宋" w:hint="eastAsia"/>
          <w:sz w:val="32"/>
          <w:szCs w:val="32"/>
        </w:rPr>
        <w:t>面对省厅准备扣减往来资金的困难局面，财政部门加大跑办力度，确保了全年省厅调拨资金无扣减，累计争取到位调拨资金17.3亿元，较好地保障了工资发放、机关运转、重点项目建设等资金需求，有效缓解了资金压力；</w:t>
      </w:r>
      <w:r>
        <w:rPr>
          <w:rFonts w:ascii="仿宋_GB2312" w:eastAsia="仿宋_GB2312" w:hAnsi="仿宋" w:hint="eastAsia"/>
          <w:b/>
          <w:sz w:val="32"/>
          <w:szCs w:val="32"/>
        </w:rPr>
        <w:t>四是积极盘活存量资金。</w:t>
      </w:r>
      <w:r>
        <w:rPr>
          <w:rFonts w:ascii="仿宋_GB2312" w:eastAsia="仿宋_GB2312" w:hAnsi="仿宋" w:hint="eastAsia"/>
          <w:sz w:val="32"/>
          <w:szCs w:val="32"/>
        </w:rPr>
        <w:t>面对我县可用财力不足的局面，财政部门全面落实盘活财政存量资金的相关规定，全年累计盘活存量资金5亿元并收回县财政统筹使用，切实提高了财政资金使用效益。</w:t>
      </w:r>
    </w:p>
    <w:p>
      <w:pPr>
        <w:spacing w:line="540" w:lineRule="exact"/>
        <w:ind w:firstLine="640" w:firstLineChars="200"/>
        <w:rPr>
          <w:rFonts w:ascii="仿宋_GB2312" w:eastAsia="仿宋_GB2312" w:hAnsi="仿宋"/>
          <w:sz w:val="32"/>
          <w:szCs w:val="32"/>
        </w:rPr>
      </w:pPr>
      <w:r>
        <w:rPr>
          <w:rFonts w:ascii="楷体_GB2312" w:eastAsia="楷体_GB2312" w:hAnsi="楷体" w:hint="eastAsia"/>
          <w:b/>
          <w:sz w:val="32"/>
          <w:szCs w:val="32"/>
        </w:rPr>
        <w:t>（二）坚持发挥财政职能，助力打好“三大攻坚战”。</w:t>
      </w:r>
      <w:r>
        <w:rPr>
          <w:rFonts w:ascii="仿宋_GB2312" w:eastAsia="仿宋_GB2312" w:hAnsi="仿宋" w:hint="eastAsia"/>
          <w:b/>
          <w:sz w:val="32"/>
          <w:szCs w:val="32"/>
        </w:rPr>
        <w:t>一是积极防控化解债务风险。</w:t>
      </w:r>
      <w:r>
        <w:rPr>
          <w:rFonts w:ascii="仿宋_GB2312" w:eastAsia="仿宋_GB2312" w:hAnsi="仿宋" w:hint="eastAsia"/>
          <w:sz w:val="32"/>
          <w:szCs w:val="32"/>
        </w:rPr>
        <w:t>按时足额偿还政府到期债务本息，2021年共偿还政府债券本金15.4亿元（使用再融资债券资金偿还14.2亿元，使用本级资金偿还1.2亿元），其中：一般债券还本14.4亿元，专项债券还本1亿元。偿还政府债券利息1.8亿元，其中：一般债券利息1.4亿元，专项债券利息0.4亿元。偿还政府隐性债务0.2亿元，最大限度降低了区域性债务风险；</w:t>
      </w:r>
      <w:r>
        <w:rPr>
          <w:rFonts w:ascii="仿宋_GB2312" w:eastAsia="仿宋_GB2312" w:hAnsi="仿宋" w:hint="eastAsia"/>
          <w:b/>
          <w:sz w:val="32"/>
          <w:szCs w:val="32"/>
        </w:rPr>
        <w:t>二是</w:t>
      </w:r>
      <w:r>
        <w:rPr>
          <w:rFonts w:ascii="仿宋_GB2312" w:eastAsia="仿宋_GB2312" w:hAnsi="宋体" w:hint="eastAsia"/>
          <w:b/>
          <w:sz w:val="32"/>
          <w:szCs w:val="32"/>
        </w:rPr>
        <w:t>聚焦巩固脱贫攻坚成果。</w:t>
      </w:r>
      <w:r>
        <w:rPr>
          <w:rFonts w:ascii="仿宋_GB2312" w:eastAsia="仿宋_GB2312" w:hAnsi="宋体" w:hint="eastAsia"/>
          <w:sz w:val="32"/>
          <w:szCs w:val="32"/>
        </w:rPr>
        <w:t>加大衔接推进乡村振兴资金投入力度，积极助推巩固拓展脱贫攻坚成果同乡村振兴有效衔接。2021年投入财政衔接推进乡村振兴补助资金5156万元，主要用于脱贫户产业发展、小额信贷贴息、生产经营、劳动技能培训、稳定就业、公益岗位补助，以及易地扶贫搬迁后续扶持和驻村工作队经费等方面支出；</w:t>
      </w:r>
      <w:r>
        <w:rPr>
          <w:rFonts w:ascii="仿宋_GB2312" w:eastAsia="仿宋_GB2312" w:hAnsi="仿宋" w:hint="eastAsia"/>
          <w:b/>
          <w:sz w:val="32"/>
          <w:szCs w:val="32"/>
        </w:rPr>
        <w:t>三是全力支持污染防治。</w:t>
      </w:r>
      <w:r>
        <w:rPr>
          <w:rFonts w:ascii="仿宋_GB2312" w:eastAsia="仿宋_GB2312" w:hAnsi="仿宋" w:hint="eastAsia"/>
          <w:sz w:val="32"/>
          <w:szCs w:val="32"/>
        </w:rPr>
        <w:t>拨付资金2787万元用于农村煤改气、煤改电项目，全面推进农村“双改”。拨付资金2243万元用于“电代煤”，“气代煤”和“型煤”补贴，有效保障群众温暖过冬。拨付资金567万元用于燃煤锅炉综合治理，拨付资金437万元用于工业企业环保技改提升，降低取暖和工业燃烧对于大气的污染。拨付资金5440万元用于全县污水处理以及垃圾收集、清运、处理。拨付资金2669万元用于水污染防治，营造良好生态宜居环境。</w:t>
      </w:r>
    </w:p>
    <w:p>
      <w:pPr>
        <w:spacing w:line="540" w:lineRule="exact"/>
        <w:ind w:firstLine="640" w:firstLineChars="200"/>
        <w:rPr>
          <w:rFonts w:ascii="仿宋_GB2312" w:eastAsia="仿宋_GB2312" w:hAnsi="仿宋"/>
          <w:sz w:val="32"/>
          <w:szCs w:val="32"/>
        </w:rPr>
      </w:pPr>
      <w:r>
        <w:rPr>
          <w:rFonts w:ascii="楷体_GB2312" w:eastAsia="楷体_GB2312" w:hAnsi="宋体" w:hint="eastAsia"/>
          <w:b/>
          <w:sz w:val="32"/>
          <w:szCs w:val="32"/>
        </w:rPr>
        <w:t>（三）落实惠民政策，千方百计保民生。</w:t>
      </w:r>
      <w:r>
        <w:rPr>
          <w:rFonts w:ascii="仿宋_GB2312" w:eastAsia="仿宋_GB2312" w:hAnsi="宋体" w:hint="eastAsia"/>
          <w:sz w:val="32"/>
          <w:szCs w:val="32"/>
        </w:rPr>
        <w:t>坚持尽力而为，量力而行，着力保障重点民生项目资金需要，促进社会事业发展，增进人民群众福祉。</w:t>
      </w:r>
      <w:r>
        <w:rPr>
          <w:rFonts w:ascii="仿宋_GB2312" w:eastAsia="仿宋_GB2312" w:hAnsi="宋体" w:hint="eastAsia"/>
          <w:b/>
          <w:sz w:val="32"/>
          <w:szCs w:val="32"/>
        </w:rPr>
        <w:t>一是支持教育均衡发展。</w:t>
      </w:r>
      <w:r>
        <w:rPr>
          <w:rFonts w:ascii="仿宋_GB2312" w:eastAsia="仿宋_GB2312" w:hAnsi="宋体" w:hint="eastAsia"/>
          <w:bCs/>
          <w:sz w:val="32"/>
          <w:szCs w:val="32"/>
        </w:rPr>
        <w:t>一年来，</w:t>
      </w:r>
      <w:r>
        <w:rPr>
          <w:rFonts w:ascii="仿宋_GB2312" w:eastAsia="仿宋_GB2312" w:hAnsi="宋体" w:hint="eastAsia"/>
          <w:sz w:val="32"/>
          <w:szCs w:val="32"/>
        </w:rPr>
        <w:t>全县教育支出59205万元，占财政总支出的22.7%。义务教育、学前教育、高中、职业技术教育保障政策全面落实。全年拨付农村小学营养改善计划资金364万元，惠及9258名学生。发放义务教育阶段家庭经济困难补助资金412万元，受益学生5549人。高中“三免一助”及建档立卡资金240万元，受益学生1200人。发放职业教育学校“三免一助”及建档立卡资金666万元，受益学生3118人。拨付资金6300万元，支持六中和四小新建项目，以及二中、松岭小学、李家窝铺小学、亮甲台幼儿园改扩建等项目；</w:t>
      </w:r>
      <w:r>
        <w:rPr>
          <w:rFonts w:ascii="仿宋_GB2312" w:eastAsia="仿宋_GB2312" w:hAnsi="宋体" w:hint="eastAsia"/>
          <w:b/>
          <w:sz w:val="32"/>
          <w:szCs w:val="32"/>
        </w:rPr>
        <w:t>二是提高社会保障和医疗水平。</w:t>
      </w:r>
      <w:r>
        <w:rPr>
          <w:rFonts w:ascii="仿宋_GB2312" w:eastAsia="仿宋_GB2312" w:hAnsi="宋体" w:hint="eastAsia"/>
          <w:sz w:val="32"/>
          <w:szCs w:val="32"/>
        </w:rPr>
        <w:t>2021年农村低保、五保、优抚、高龄、残疾人生活补贴等社保类惠民资金实现了“一卡通”发放，全年共发放惠民补贴资金8760万元，受惠群众36949人次。投入城乡居民养老保险资金6125万元,城乡居民医疗保险18713万元，确保了全县社会养老保险事业的发展，提升了城乡居民医疗保障水平。进一步加大卫生投入力度，全年医疗卫生支出1732万元，确保了全县医疗卫生事业的发展，公立医院各项改革顺利进行；</w:t>
      </w:r>
      <w:r>
        <w:rPr>
          <w:rFonts w:ascii="仿宋_GB2312" w:eastAsia="仿宋_GB2312" w:hAnsi="宋体" w:hint="eastAsia"/>
          <w:b/>
          <w:sz w:val="32"/>
          <w:szCs w:val="32"/>
        </w:rPr>
        <w:t>三是全力支持疫情防控工作。</w:t>
      </w:r>
      <w:r>
        <w:rPr>
          <w:rFonts w:ascii="仿宋_GB2312" w:eastAsia="仿宋_GB2312" w:hAnsi="宋体" w:hint="eastAsia"/>
          <w:bCs/>
          <w:sz w:val="32"/>
          <w:szCs w:val="32"/>
        </w:rPr>
        <w:t>拨付资金3354.7万元，用于购置疫情防控物资、建设隔离点、购买新冠疫苗接种商业保险等支出需要。筹集资金747.4万元，用于购置移动核酸检测车1辆、负压救护车18辆，进一步提升了全县核酸检测能力和急救转运能力。拨付资金2953万元，用于购买新冠疫苗，切实构筑了全民免疫屏障。拨付资金322.4万元，用于免费接种疫苗服务费；</w:t>
      </w:r>
      <w:r>
        <w:rPr>
          <w:rFonts w:ascii="仿宋_GB2312" w:eastAsia="仿宋_GB2312" w:hAnsi="宋体" w:hint="eastAsia"/>
          <w:b/>
          <w:sz w:val="32"/>
          <w:szCs w:val="32"/>
        </w:rPr>
        <w:t>四是支持社会管理创新。</w:t>
      </w:r>
      <w:r>
        <w:rPr>
          <w:rFonts w:ascii="仿宋_GB2312" w:eastAsia="仿宋_GB2312" w:hAnsi="宋体" w:hint="eastAsia"/>
          <w:sz w:val="32"/>
          <w:szCs w:val="32"/>
        </w:rPr>
        <w:t>按标准全额落实公检法司公用经费，全年拨付公检法司部门办案业务经费及设备采购资金2818万元，交警业务等经费733万元，下达综治维稳信访经费680万元，确保了政法机构正常运转，为维护社会和谐稳定及平安建设提供了坚实财力保障；</w:t>
      </w:r>
      <w:r>
        <w:rPr>
          <w:rFonts w:ascii="仿宋_GB2312" w:eastAsia="仿宋_GB2312" w:hAnsi="宋体" w:hint="eastAsia"/>
          <w:b/>
          <w:bCs/>
          <w:sz w:val="32"/>
          <w:szCs w:val="32"/>
        </w:rPr>
        <w:t>五是全力保障重点民心工程建设。</w:t>
      </w:r>
      <w:r>
        <w:rPr>
          <w:rFonts w:ascii="仿宋_GB2312" w:eastAsia="仿宋_GB2312" w:hAnsi="宋体" w:hint="eastAsia"/>
          <w:sz w:val="32"/>
          <w:szCs w:val="32"/>
        </w:rPr>
        <w:t>全年共筹集资金2.6亿元，主要用于老旧小区改造、老城区胡同配套、保障性安居工程、污水管网建设等重点民心工程项目。</w:t>
      </w:r>
    </w:p>
    <w:p>
      <w:pPr>
        <w:spacing w:line="540" w:lineRule="exact"/>
        <w:ind w:firstLine="640" w:firstLineChars="200"/>
        <w:rPr>
          <w:rFonts w:ascii="仿宋_GB2312" w:eastAsia="仿宋_GB2312" w:hAnsi="宋体"/>
          <w:sz w:val="32"/>
          <w:szCs w:val="32"/>
        </w:rPr>
      </w:pPr>
      <w:r>
        <w:rPr>
          <w:rFonts w:ascii="楷体_GB2312" w:eastAsia="楷体_GB2312" w:hAnsi="宋体" w:hint="eastAsia"/>
          <w:b/>
          <w:sz w:val="32"/>
          <w:szCs w:val="32"/>
        </w:rPr>
        <w:t>（四）优化营商环境，统筹城乡促发展。</w:t>
      </w:r>
      <w:r>
        <w:rPr>
          <w:rFonts w:ascii="仿宋_GB2312" w:eastAsia="仿宋_GB2312" w:hAnsi="宋体" w:hint="eastAsia"/>
          <w:b/>
          <w:sz w:val="32"/>
          <w:szCs w:val="32"/>
        </w:rPr>
        <w:t>一是全面贯彻落实国家减税降费政策。</w:t>
      </w:r>
      <w:r>
        <w:rPr>
          <w:rFonts w:ascii="仿宋_GB2312" w:eastAsia="仿宋_GB2312" w:hAnsi="宋体" w:hint="eastAsia"/>
          <w:sz w:val="32"/>
          <w:szCs w:val="32"/>
        </w:rPr>
        <w:t>主动让利企业，涵养税源，全年累计新增减税降费0.7亿元，有效激发了市场主体活力；</w:t>
      </w:r>
      <w:r>
        <w:rPr>
          <w:rFonts w:ascii="仿宋_GB2312" w:eastAsia="仿宋_GB2312" w:hAnsi="宋体" w:hint="eastAsia"/>
          <w:b/>
          <w:sz w:val="32"/>
          <w:szCs w:val="32"/>
        </w:rPr>
        <w:t>二是扶持企业发展。</w:t>
      </w:r>
      <w:r>
        <w:rPr>
          <w:rFonts w:ascii="仿宋_GB2312" w:eastAsia="仿宋_GB2312" w:hAnsi="仿宋" w:hint="eastAsia"/>
          <w:sz w:val="32"/>
          <w:szCs w:val="32"/>
        </w:rPr>
        <w:t>县域两家担保公司共为45家企业提供57笔担保贷款，在保余额6.6亿元，充分发挥融资担保杠杆作用，帮扶企业应对资金困难</w:t>
      </w:r>
      <w:r>
        <w:rPr>
          <w:rFonts w:ascii="仿宋_GB2312" w:eastAsia="仿宋_GB2312" w:hAnsi="宋体" w:hint="eastAsia"/>
          <w:sz w:val="32"/>
          <w:szCs w:val="32"/>
        </w:rPr>
        <w:t>。拨付创业担保贷款财政贴息资金53.3万元，对符合政策规定条件的小微企业和个体工商户担保贷款给予一定贴息，有效缓解了特殊困难群体的就业矛盾。筹集民贸民品贷款贴息资金439.9万元，支持县域内6家民族企业更好发展；</w:t>
      </w:r>
      <w:r>
        <w:rPr>
          <w:rFonts w:ascii="仿宋_GB2312" w:eastAsia="仿宋_GB2312" w:hAnsi="宋体" w:hint="eastAsia"/>
          <w:b/>
          <w:sz w:val="32"/>
          <w:szCs w:val="32"/>
        </w:rPr>
        <w:t>三是支持农业农村发展。</w:t>
      </w:r>
      <w:r>
        <w:rPr>
          <w:rFonts w:ascii="仿宋_GB2312" w:eastAsia="仿宋_GB2312" w:hAnsi="宋体" w:hint="eastAsia"/>
          <w:sz w:val="32"/>
          <w:szCs w:val="32"/>
        </w:rPr>
        <w:t>认真落实各项支农惠农政策，加大“三农”投入。全年共下达“三农”资金22979万元，持续增加对农、林、水等农业基础设施，农村生态环境，新农村建设等投入。全面推行惠农补贴“一卡通”兑付方式改革，2021年发放各类涉农补贴1480万元。大力实施一事一议财政奖补项目，</w:t>
      </w:r>
      <w:r>
        <w:rPr>
          <w:rFonts w:ascii="仿宋_GB2312" w:eastAsia="仿宋_GB2312" w:hAnsi="仿宋" w:hint="eastAsia"/>
          <w:sz w:val="32"/>
          <w:szCs w:val="32"/>
        </w:rPr>
        <w:t>筹集资金382万元，支持改善农村生产生活条件，全年新建村内人畜饮用水工程2个，安装村内街道照明设施312盏，新建村内小型水利设施和其他项目设施30个，硬化6个村庄道路4公里</w:t>
      </w:r>
      <w:r>
        <w:rPr>
          <w:rFonts w:ascii="仿宋_GB2312" w:eastAsia="仿宋_GB2312" w:hAnsi="宋体" w:hint="eastAsia"/>
          <w:sz w:val="32"/>
          <w:szCs w:val="32"/>
        </w:rPr>
        <w:t>。</w:t>
      </w:r>
    </w:p>
    <w:p>
      <w:pPr>
        <w:spacing w:line="540" w:lineRule="exact"/>
        <w:ind w:firstLine="640" w:firstLineChars="200"/>
        <w:rPr>
          <w:rFonts w:ascii="仿宋_GB2312" w:eastAsia="仿宋_GB2312" w:hAnsi="仿宋"/>
          <w:sz w:val="32"/>
          <w:szCs w:val="32"/>
        </w:rPr>
      </w:pPr>
      <w:r>
        <w:rPr>
          <w:rFonts w:ascii="楷体_GB2312" w:eastAsia="楷体_GB2312" w:hAnsi="宋体" w:hint="eastAsia"/>
          <w:b/>
          <w:sz w:val="32"/>
          <w:szCs w:val="32"/>
        </w:rPr>
        <w:t>（五）规范财政管理，多措并举强监管。</w:t>
      </w:r>
      <w:r>
        <w:rPr>
          <w:rFonts w:ascii="仿宋_GB2312" w:eastAsia="仿宋_GB2312" w:hAnsi="宋体" w:hint="eastAsia"/>
          <w:b/>
          <w:sz w:val="32"/>
          <w:szCs w:val="32"/>
        </w:rPr>
        <w:t>一是建立行政事业单位内控制度。</w:t>
      </w:r>
      <w:r>
        <w:rPr>
          <w:rFonts w:ascii="仿宋_GB2312" w:eastAsia="仿宋_GB2312" w:hAnsi="宋体" w:hint="eastAsia"/>
          <w:sz w:val="32"/>
          <w:szCs w:val="32"/>
        </w:rPr>
        <w:t>从集约控财、制度管财、规范用财、依法理财方面构建内控制度，组织全县146个单位按时完成2021年度行政事业单位内部控制报告编制工作；</w:t>
      </w:r>
      <w:r>
        <w:rPr>
          <w:rFonts w:ascii="仿宋_GB2312" w:eastAsia="仿宋_GB2312" w:hAnsi="宋体" w:hint="eastAsia"/>
          <w:b/>
          <w:sz w:val="32"/>
          <w:szCs w:val="32"/>
        </w:rPr>
        <w:t>二是加强国有资产监督管理。</w:t>
      </w:r>
      <w:r>
        <w:rPr>
          <w:rFonts w:ascii="仿宋_GB2312" w:eastAsia="仿宋_GB2312" w:hAnsi="宋体" w:hint="eastAsia"/>
          <w:sz w:val="32"/>
          <w:szCs w:val="32"/>
        </w:rPr>
        <w:t>严把资产处置审核关，规范全县出租出借行为，通过组织公开转让，积极盘活行政事业单位闲置国有资产0.54亿元；</w:t>
      </w:r>
      <w:r>
        <w:rPr>
          <w:rFonts w:ascii="仿宋_GB2312" w:eastAsia="仿宋_GB2312" w:hAnsi="宋体" w:hint="eastAsia"/>
          <w:b/>
          <w:sz w:val="32"/>
          <w:szCs w:val="32"/>
        </w:rPr>
        <w:t>三是</w:t>
      </w:r>
      <w:r>
        <w:rPr>
          <w:rFonts w:ascii="仿宋_GB2312" w:eastAsia="仿宋_GB2312" w:hAnsi="仿宋" w:hint="eastAsia"/>
          <w:b/>
          <w:sz w:val="32"/>
          <w:szCs w:val="32"/>
        </w:rPr>
        <w:t>推进预算绩效管理改革。</w:t>
      </w:r>
      <w:r>
        <w:rPr>
          <w:rFonts w:ascii="仿宋_GB2312" w:eastAsia="仿宋_GB2312" w:hAnsi="仿宋" w:hint="eastAsia"/>
          <w:sz w:val="32"/>
          <w:szCs w:val="32"/>
        </w:rPr>
        <w:t>2021年将82个预算部门480个项目，12.4亿元资金全部纳入绩效目标管理，实现项目预算“立项有依据、绩效有目标、计算有标准”；</w:t>
      </w:r>
      <w:r>
        <w:rPr>
          <w:rFonts w:ascii="仿宋_GB2312" w:eastAsia="仿宋_GB2312" w:hAnsi="仿宋" w:hint="eastAsia"/>
          <w:b/>
          <w:sz w:val="32"/>
          <w:szCs w:val="32"/>
        </w:rPr>
        <w:t>四是积极推进信息公开。</w:t>
      </w:r>
      <w:r>
        <w:rPr>
          <w:rFonts w:ascii="仿宋_GB2312" w:eastAsia="仿宋_GB2312" w:hAnsi="仿宋" w:hint="eastAsia"/>
          <w:sz w:val="32"/>
          <w:szCs w:val="32"/>
        </w:rPr>
        <w:t>严格按照《中华人民共和国预算法》规定时限于政府门户网站公开2020年决算，2020年项目自评情况及部门整体支出绩效评价和2021年预算，公开率100%，主动接受社会监督；</w:t>
      </w:r>
      <w:r>
        <w:rPr>
          <w:rFonts w:ascii="仿宋_GB2312" w:eastAsia="仿宋_GB2312" w:hAnsi="宋体" w:hint="eastAsia"/>
          <w:b/>
          <w:sz w:val="32"/>
          <w:szCs w:val="32"/>
        </w:rPr>
        <w:t>五是</w:t>
      </w:r>
      <w:r>
        <w:rPr>
          <w:rFonts w:ascii="仿宋_GB2312" w:eastAsia="仿宋_GB2312" w:hAnsi="仿宋" w:hint="eastAsia"/>
          <w:b/>
          <w:sz w:val="32"/>
          <w:szCs w:val="32"/>
        </w:rPr>
        <w:t>强化财政资金监督管理</w:t>
      </w:r>
      <w:r>
        <w:rPr>
          <w:rFonts w:ascii="仿宋_GB2312" w:eastAsia="仿宋_GB2312" w:hAnsi="宋体" w:hint="eastAsia"/>
          <w:b/>
          <w:sz w:val="32"/>
          <w:szCs w:val="32"/>
        </w:rPr>
        <w:t>。</w:t>
      </w:r>
      <w:r>
        <w:rPr>
          <w:rFonts w:ascii="仿宋_GB2312" w:eastAsia="仿宋_GB2312" w:hAnsi="仿宋" w:hint="eastAsia"/>
          <w:sz w:val="32"/>
          <w:szCs w:val="32"/>
        </w:rPr>
        <w:t>通过强化资金监督检查、积极开展财政绩效评价、加强政府采购全程监管、加大财政投资评审力度等措施，有力促进了财政资金的安全规范高效使用。全年共组织采购135批次，完成采购预算3.77亿元，实现政府采购资金总额3.71亿元，节约资金0.06亿元，节约率1.5%。财政投资评审送审项目144个，送审金额17.6亿元，审减金额1.1亿元，审减率6.2%。</w:t>
      </w:r>
      <w:r>
        <w:rPr>
          <w:rFonts w:ascii="仿宋_GB2312" w:eastAsia="仿宋_GB2312" w:hAnsi="宋体" w:hint="eastAsia"/>
          <w:sz w:val="32"/>
          <w:szCs w:val="32"/>
        </w:rPr>
        <w:t>组织开展全县会计监督检查工作，共涉及53个单位，有效促进了全县会计信息质量全面提升。</w:t>
      </w:r>
    </w:p>
    <w:p>
      <w:pPr>
        <w:spacing w:line="540" w:lineRule="exact"/>
        <w:ind w:firstLine="640" w:firstLineChars="200"/>
        <w:rPr>
          <w:rFonts w:ascii="仿宋_GB2312" w:eastAsia="仿宋_GB2312"/>
          <w:sz w:val="32"/>
          <w:szCs w:val="32"/>
        </w:rPr>
      </w:pPr>
      <w:r>
        <w:rPr>
          <w:rFonts w:ascii="仿宋_GB2312" w:eastAsia="仿宋_GB2312" w:hAnsi="宋体" w:hint="eastAsia"/>
          <w:sz w:val="32"/>
          <w:szCs w:val="32"/>
        </w:rPr>
        <w:t>各位代表，2021年我们虽然取得了一定成绩，但还存在一些困难和问题，主要是：“去产能”导致我县骨干税源匮乏，财政收入持续增长后劲不足；工资性支出和民生支出增长较快，收支矛盾异常突出；政府债务负担较重，偿债压力逐年加大，财政资金调度十分困难；财政调控能力较弱，刚性支出较多，统筹使用力度还需进一步强化。</w:t>
      </w:r>
      <w:r>
        <w:rPr>
          <w:rFonts w:ascii="仿宋_GB2312" w:eastAsia="仿宋_GB2312" w:hint="eastAsia"/>
          <w:sz w:val="32"/>
          <w:szCs w:val="32"/>
        </w:rPr>
        <w:t>从当前经济形势看，我县面临需求收缩、供给冲击、预期转弱三重压力，在世纪疫情冲击下，全县经济平稳运行的基础并不稳固，产业结构不优、新旧动能转换</w:t>
      </w:r>
      <w:r>
        <w:rPr>
          <w:rFonts w:ascii="仿宋_GB2312" w:eastAsia="仿宋_GB2312" w:hint="eastAsia"/>
          <w:sz w:val="32"/>
          <w:szCs w:val="32"/>
          <w:lang w:eastAsia="zh-CN"/>
        </w:rPr>
        <w:t>以及</w:t>
      </w:r>
      <w:r>
        <w:rPr>
          <w:rFonts w:ascii="仿宋_GB2312" w:eastAsia="仿宋_GB2312" w:hint="eastAsia"/>
          <w:sz w:val="32"/>
          <w:szCs w:val="32"/>
        </w:rPr>
        <w:t>减税降费政策持续加大，财政持续增收动力不足，</w:t>
      </w:r>
      <w:r>
        <w:rPr>
          <w:rFonts w:ascii="仿宋_GB2312" w:eastAsia="仿宋_GB2312" w:hAnsi="宋体" w:hint="eastAsia"/>
          <w:sz w:val="32"/>
          <w:szCs w:val="32"/>
        </w:rPr>
        <w:t>这些都需要我们创新生财、聚财、用财思路，采取有力措施，努力加以化解。</w:t>
      </w:r>
    </w:p>
    <w:p>
      <w:pPr>
        <w:spacing w:line="540" w:lineRule="exact"/>
        <w:ind w:firstLine="640" w:firstLineChars="200"/>
        <w:rPr>
          <w:rFonts w:ascii="黑体" w:eastAsia="黑体" w:hAnsi="黑体"/>
          <w:sz w:val="32"/>
          <w:szCs w:val="32"/>
        </w:rPr>
      </w:pPr>
      <w:r>
        <w:rPr>
          <w:rFonts w:ascii="黑体" w:eastAsia="黑体" w:hAnsi="黑体" w:hint="eastAsia"/>
          <w:sz w:val="32"/>
          <w:szCs w:val="32"/>
        </w:rPr>
        <w:t>三、2022年预算安排情况</w:t>
      </w:r>
    </w:p>
    <w:p>
      <w:pPr>
        <w:spacing w:line="540" w:lineRule="exact"/>
        <w:ind w:firstLine="640" w:firstLineChars="200"/>
        <w:rPr>
          <w:rFonts w:ascii="楷体_GB2312" w:eastAsia="楷体_GB2312"/>
          <w:b/>
          <w:sz w:val="32"/>
          <w:szCs w:val="32"/>
        </w:rPr>
      </w:pPr>
      <w:r>
        <w:rPr>
          <w:rFonts w:ascii="楷体_GB2312" w:eastAsia="楷体_GB2312" w:hint="eastAsia"/>
          <w:b/>
          <w:sz w:val="32"/>
          <w:szCs w:val="32"/>
        </w:rPr>
        <w:t>（一）一般公共预算安排情况</w:t>
      </w:r>
    </w:p>
    <w:p>
      <w:pPr>
        <w:spacing w:line="540" w:lineRule="exact"/>
        <w:ind w:firstLine="640" w:firstLineChars="200"/>
        <w:rPr>
          <w:rFonts w:ascii="仿宋_GB2312" w:eastAsia="仿宋_GB2312" w:hAnsi="方正仿宋_GBK" w:cs="方正仿宋_GBK"/>
          <w:bCs/>
          <w:sz w:val="32"/>
          <w:szCs w:val="32"/>
        </w:rPr>
      </w:pPr>
      <w:r>
        <w:rPr>
          <w:rFonts w:ascii="仿宋_GB2312" w:eastAsia="仿宋_GB2312" w:hAnsi="方正仿宋_GBK" w:cs="方正仿宋_GBK" w:hint="eastAsia"/>
          <w:b/>
          <w:sz w:val="32"/>
          <w:szCs w:val="32"/>
        </w:rPr>
        <w:t>1.收入预算安排情况。</w:t>
      </w:r>
      <w:r>
        <w:rPr>
          <w:rFonts w:ascii="仿宋_GB2312" w:eastAsia="仿宋_GB2312" w:hAnsi="方正仿宋_GBK" w:cs="方正仿宋_GBK" w:hint="eastAsia"/>
          <w:bCs/>
          <w:sz w:val="32"/>
          <w:szCs w:val="32"/>
        </w:rPr>
        <w:t>2022年全部财政收入拟安排234400万元，同比下降36.7%，其中：税收收入安排215150万元，同比下降39.7%；非税收入安排19250万元，同比增长40.2%。一般公共预算收入拟安排96000万元，同比下降28.4%，其中：税收收入安排77210万元，同比下降36.1%；非税收入安排18790万元，同比增长41.7%。</w:t>
      </w:r>
    </w:p>
    <w:p>
      <w:pPr>
        <w:spacing w:line="540" w:lineRule="exact"/>
        <w:ind w:firstLine="640" w:firstLineChars="200"/>
        <w:rPr>
          <w:rFonts w:ascii="仿宋_GB2312" w:eastAsia="仿宋_GB2312"/>
          <w:sz w:val="32"/>
          <w:szCs w:val="32"/>
        </w:rPr>
      </w:pPr>
      <w:r>
        <w:rPr>
          <w:rFonts w:ascii="仿宋_GB2312" w:eastAsia="仿宋_GB2312" w:hAnsi="方正仿宋_GBK" w:cs="方正仿宋_GBK" w:hint="eastAsia"/>
          <w:b/>
          <w:sz w:val="32"/>
          <w:szCs w:val="32"/>
        </w:rPr>
        <w:t>2.支出预算安排情况。</w:t>
      </w:r>
      <w:r>
        <w:rPr>
          <w:rFonts w:ascii="仿宋_GB2312" w:eastAsia="仿宋_GB2312" w:hAnsi="仿宋" w:hint="eastAsia"/>
          <w:sz w:val="32"/>
          <w:szCs w:val="32"/>
        </w:rPr>
        <w:t>经测算，当年全部财力308948万元，其中：一般公共预算收入96000万元、税收返还2426万元、上级补助收入121064万元、上级专项转移支付50010万元、</w:t>
      </w:r>
      <w:r>
        <w:rPr>
          <w:rFonts w:ascii="仿宋_GB2312" w:eastAsia="仿宋_GB2312" w:cs="仿宋_GB2312" w:hint="eastAsia"/>
          <w:kern w:val="0"/>
          <w:sz w:val="32"/>
          <w:szCs w:val="32"/>
        </w:rPr>
        <w:t>再融资债券收入67700万元、</w:t>
      </w:r>
      <w:r>
        <w:rPr>
          <w:rFonts w:ascii="仿宋_GB2312" w:eastAsia="仿宋_GB2312" w:hAnsi="仿宋" w:hint="eastAsia"/>
          <w:sz w:val="32"/>
          <w:szCs w:val="32"/>
        </w:rPr>
        <w:t>上解支出28252万元。按照收支平衡的原则，拟安排债券还本支出67728万元，安排一般公共预算支出241220万元，</w:t>
      </w:r>
      <w:r>
        <w:rPr>
          <w:rFonts w:ascii="仿宋_GB2312" w:eastAsia="仿宋_GB2312" w:hint="eastAsia"/>
          <w:sz w:val="32"/>
          <w:szCs w:val="32"/>
        </w:rPr>
        <w:t>其中:一般公共服务支出安排61616万元；国防支出安排231万元；公共安全支出安排9863万元；教育支出安排55667万元；科学技术支出安排111万元；文化体育与传媒支出安排2264万元；社会保障和就业支出安排30963万元；卫生健康支出安排15849万元；节能环保支出安排867万元；城乡社区支出安排1816万元；农林水支出安排28563万元；交通运输支出安排3592万元；商业服务业支出安排350万元；自然资源海洋气象等支出安排823万元；住房保障支出安排1101万元；灾害防治及应急管理支出安排1599万元；预备费安排3080万元；其他支出安排8820万元；债券付息支出安排13965万元；债券发行费用支出安排80万元。</w:t>
      </w:r>
    </w:p>
    <w:p>
      <w:pPr>
        <w:spacing w:line="540" w:lineRule="exact"/>
        <w:ind w:firstLine="640" w:firstLineChars="200"/>
        <w:rPr>
          <w:rFonts w:ascii="楷体_GB2312" w:eastAsia="楷体_GB2312"/>
          <w:b/>
          <w:sz w:val="32"/>
          <w:szCs w:val="32"/>
        </w:rPr>
      </w:pPr>
      <w:r>
        <w:rPr>
          <w:rFonts w:ascii="楷体_GB2312" w:eastAsia="楷体_GB2312" w:hint="eastAsia"/>
          <w:b/>
          <w:sz w:val="32"/>
          <w:szCs w:val="32"/>
        </w:rPr>
        <w:t>（二）政府性基金预算安排情况</w:t>
      </w:r>
    </w:p>
    <w:p>
      <w:pPr>
        <w:spacing w:line="540" w:lineRule="exact"/>
        <w:ind w:firstLine="640" w:firstLineChars="20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2022年政府性基金预算收入预计完成32900万元，上级提前下达专项转移支付1800万元，再融资债券收入31800万元，当年财力合计66500万元。按照收支平衡的原则，拟安排债券还本支出31800万元，政府性基金支出34700万元，其中：文化旅游体育与传媒支出</w:t>
      </w:r>
      <w:r>
        <w:rPr>
          <w:rFonts w:ascii="仿宋_GB2312" w:eastAsia="仿宋_GB2312" w:hint="eastAsia"/>
          <w:sz w:val="32"/>
          <w:szCs w:val="32"/>
        </w:rPr>
        <w:t>安排</w:t>
      </w:r>
      <w:r>
        <w:rPr>
          <w:rFonts w:ascii="仿宋_GB2312" w:eastAsia="仿宋_GB2312" w:hAnsi="方正仿宋_GBK" w:cs="方正仿宋_GBK" w:hint="eastAsia"/>
          <w:bCs/>
          <w:sz w:val="32"/>
          <w:szCs w:val="32"/>
        </w:rPr>
        <w:t>31万元；社会保障和就业支出</w:t>
      </w:r>
      <w:r>
        <w:rPr>
          <w:rFonts w:ascii="仿宋_GB2312" w:eastAsia="仿宋_GB2312" w:hint="eastAsia"/>
          <w:sz w:val="32"/>
          <w:szCs w:val="32"/>
        </w:rPr>
        <w:t>安排</w:t>
      </w:r>
      <w:r>
        <w:rPr>
          <w:rFonts w:ascii="仿宋_GB2312" w:eastAsia="仿宋_GB2312" w:hAnsi="方正仿宋_GBK" w:cs="方正仿宋_GBK" w:hint="eastAsia"/>
          <w:bCs/>
          <w:sz w:val="32"/>
          <w:szCs w:val="32"/>
        </w:rPr>
        <w:t>1451万元；城乡社区支出</w:t>
      </w:r>
      <w:r>
        <w:rPr>
          <w:rFonts w:ascii="仿宋_GB2312" w:eastAsia="仿宋_GB2312" w:hint="eastAsia"/>
          <w:sz w:val="32"/>
          <w:szCs w:val="32"/>
        </w:rPr>
        <w:t>安排</w:t>
      </w:r>
      <w:r>
        <w:rPr>
          <w:rFonts w:ascii="仿宋_GB2312" w:eastAsia="仿宋_GB2312" w:hAnsi="方正仿宋_GBK" w:cs="方正仿宋_GBK" w:hint="eastAsia"/>
          <w:bCs/>
          <w:sz w:val="32"/>
          <w:szCs w:val="32"/>
        </w:rPr>
        <w:t>28395万元；其他支出</w:t>
      </w:r>
      <w:r>
        <w:rPr>
          <w:rFonts w:ascii="仿宋_GB2312" w:eastAsia="仿宋_GB2312" w:hint="eastAsia"/>
          <w:sz w:val="32"/>
          <w:szCs w:val="32"/>
        </w:rPr>
        <w:t>安排</w:t>
      </w:r>
      <w:r>
        <w:rPr>
          <w:rFonts w:ascii="仿宋_GB2312" w:eastAsia="仿宋_GB2312" w:hAnsi="方正仿宋_GBK" w:cs="方正仿宋_GBK" w:hint="eastAsia"/>
          <w:bCs/>
          <w:sz w:val="32"/>
          <w:szCs w:val="32"/>
        </w:rPr>
        <w:t>518万元；债券付息支出</w:t>
      </w:r>
      <w:r>
        <w:rPr>
          <w:rFonts w:ascii="仿宋_GB2312" w:eastAsia="仿宋_GB2312" w:hint="eastAsia"/>
          <w:sz w:val="32"/>
          <w:szCs w:val="32"/>
        </w:rPr>
        <w:t>安排</w:t>
      </w:r>
      <w:r>
        <w:rPr>
          <w:rFonts w:ascii="仿宋_GB2312" w:eastAsia="仿宋_GB2312" w:hAnsi="方正仿宋_GBK" w:cs="方正仿宋_GBK" w:hint="eastAsia"/>
          <w:bCs/>
          <w:sz w:val="32"/>
          <w:szCs w:val="32"/>
        </w:rPr>
        <w:t>4265万元；债券发行费用支出</w:t>
      </w:r>
      <w:r>
        <w:rPr>
          <w:rFonts w:ascii="仿宋_GB2312" w:eastAsia="仿宋_GB2312" w:hint="eastAsia"/>
          <w:sz w:val="32"/>
          <w:szCs w:val="32"/>
        </w:rPr>
        <w:t>安排</w:t>
      </w:r>
      <w:r>
        <w:rPr>
          <w:rFonts w:ascii="仿宋_GB2312" w:eastAsia="仿宋_GB2312" w:hAnsi="方正仿宋_GBK" w:cs="方正仿宋_GBK" w:hint="eastAsia"/>
          <w:bCs/>
          <w:sz w:val="32"/>
          <w:szCs w:val="32"/>
        </w:rPr>
        <w:t>40万元。</w:t>
      </w:r>
    </w:p>
    <w:p>
      <w:pPr>
        <w:spacing w:line="540" w:lineRule="exact"/>
        <w:ind w:firstLine="640" w:firstLineChars="200"/>
        <w:rPr>
          <w:rFonts w:ascii="楷体_GB2312" w:eastAsia="楷体_GB2312"/>
          <w:b/>
          <w:sz w:val="32"/>
          <w:szCs w:val="32"/>
        </w:rPr>
      </w:pPr>
      <w:r>
        <w:rPr>
          <w:rFonts w:ascii="楷体_GB2312" w:eastAsia="楷体_GB2312" w:hint="eastAsia"/>
          <w:b/>
          <w:sz w:val="32"/>
          <w:szCs w:val="32"/>
        </w:rPr>
        <w:t>（三）国有资本经营预算安排情况</w:t>
      </w:r>
    </w:p>
    <w:p>
      <w:pPr>
        <w:spacing w:line="540" w:lineRule="exact"/>
        <w:ind w:firstLine="640" w:firstLineChars="200"/>
        <w:rPr>
          <w:rFonts w:ascii="仿宋_GB2312" w:eastAsia="仿宋_GB2312"/>
          <w:b/>
          <w:sz w:val="32"/>
          <w:szCs w:val="32"/>
        </w:rPr>
      </w:pPr>
      <w:r>
        <w:rPr>
          <w:rFonts w:ascii="仿宋_GB2312" w:eastAsia="仿宋_GB2312" w:hAnsi="方正仿宋_GBK" w:cs="方正仿宋_GBK" w:hint="eastAsia"/>
          <w:bCs/>
          <w:sz w:val="32"/>
          <w:szCs w:val="32"/>
        </w:rPr>
        <w:t>2022年国有资本经营预算上级补助收入21万元，安排国有资本经营预算支出21万元。</w:t>
      </w:r>
    </w:p>
    <w:p>
      <w:pPr>
        <w:spacing w:line="540" w:lineRule="exact"/>
        <w:ind w:firstLine="640" w:firstLineChars="200"/>
        <w:rPr>
          <w:rFonts w:ascii="楷体_GB2312" w:eastAsia="楷体_GB2312"/>
          <w:b/>
          <w:sz w:val="32"/>
          <w:szCs w:val="32"/>
        </w:rPr>
      </w:pPr>
      <w:r>
        <w:rPr>
          <w:rFonts w:ascii="楷体_GB2312" w:eastAsia="楷体_GB2312" w:hint="eastAsia"/>
          <w:b/>
          <w:sz w:val="32"/>
          <w:szCs w:val="32"/>
        </w:rPr>
        <w:t>（四）社会保险基金预算安排情况</w:t>
      </w:r>
    </w:p>
    <w:p>
      <w:pPr>
        <w:spacing w:line="540" w:lineRule="exact"/>
        <w:ind w:firstLine="640" w:firstLineChars="20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2022年社会保险基金预算收入拟安排101991万元，其中：企业职工基本养老保险基金32919万元，城乡居民基本养老保险基金8605万元，机关事业单位基本养老保险基金19475万元，职工基本医疗保险（含生育保险）基金15307万元，城乡居民基本医疗保险基金25685万元。社会保险基金支出拟安排91684万元，其中：企业职工基本养老保险基金25263万元，城乡居民基本养老保险基金6672万元，机关事业单位基本养老保险基金19258万元，职工基本医疗保险（含生育保险）基金14783万元，城乡居民基本医疗保险基金25707万元。当年结余10307万元，年末滚存结余34212万元。</w:t>
      </w:r>
    </w:p>
    <w:p>
      <w:pPr>
        <w:spacing w:line="540" w:lineRule="exact"/>
        <w:ind w:firstLine="640" w:firstLineChars="200"/>
        <w:rPr>
          <w:rFonts w:ascii="黑体" w:eastAsia="黑体" w:hAnsi="黑体"/>
          <w:sz w:val="32"/>
          <w:szCs w:val="32"/>
        </w:rPr>
      </w:pPr>
      <w:r>
        <w:rPr>
          <w:rFonts w:ascii="黑体" w:eastAsia="黑体" w:hAnsi="黑体" w:hint="eastAsia"/>
          <w:sz w:val="32"/>
          <w:szCs w:val="32"/>
        </w:rPr>
        <w:t>四、2022年财政重点工作</w:t>
      </w:r>
    </w:p>
    <w:p>
      <w:pPr>
        <w:spacing w:line="540" w:lineRule="exact"/>
        <w:ind w:firstLine="640" w:firstLineChars="200"/>
        <w:rPr>
          <w:rFonts w:ascii="仿宋_GB2312" w:eastAsia="仿宋_GB2312"/>
          <w:sz w:val="32"/>
          <w:szCs w:val="32"/>
        </w:rPr>
      </w:pPr>
      <w:r>
        <w:rPr>
          <w:rFonts w:ascii="仿宋_GB2312" w:eastAsia="仿宋_GB2312" w:hint="eastAsia"/>
          <w:sz w:val="32"/>
          <w:szCs w:val="32"/>
        </w:rPr>
        <w:t>2022年，财政部门将坚决贯彻落实县委、县政府决策部署，全面贯彻新发展理念，优化财政支出结构，强化落实“三保”工作，防范化解财政风险，推动经济社会持续稳定健康发展。</w:t>
      </w:r>
    </w:p>
    <w:p>
      <w:pPr>
        <w:spacing w:line="540" w:lineRule="exact"/>
        <w:ind w:firstLine="640" w:firstLineChars="200"/>
        <w:rPr>
          <w:rFonts w:ascii="仿宋_GB2312" w:eastAsia="仿宋_GB2312" w:hAnsi="仿宋"/>
          <w:sz w:val="32"/>
          <w:szCs w:val="32"/>
        </w:rPr>
      </w:pPr>
      <w:r>
        <w:rPr>
          <w:rFonts w:ascii="楷体_GB2312" w:eastAsia="楷体_GB2312" w:hAnsi="宋体" w:hint="eastAsia"/>
          <w:b/>
          <w:sz w:val="32"/>
          <w:szCs w:val="32"/>
        </w:rPr>
        <w:t>（一）抓收入，增强财政保障能力。</w:t>
      </w:r>
      <w:r>
        <w:rPr>
          <w:rFonts w:ascii="仿宋_GB2312" w:eastAsia="仿宋_GB2312" w:hAnsi="仿宋" w:hint="eastAsia"/>
          <w:sz w:val="32"/>
          <w:szCs w:val="32"/>
        </w:rPr>
        <w:t>全力以赴抓收入。正确处理减税降费与依法组织收入的关系，全面抓好收入征管，强化财税协同配合，切实抓好重点行业、重点税源、重点税种的有效监控，提高征管效率。加强欠税清缴和零散税收征缴，充分挖掘税收增长潜力，不断提高收入质量。进一步加强非税收入征管，确保非税收入应征尽征。同时积极盘活国土资源，加快国土项目实施，推进土地指标流转，增加财政收益；积极向上争取资金。积极抢抓经济新常态下国家继续实施积极财政政策的机遇，在“争”上下功夫，紧盯国家宏观政策、产业政策导向，精准把握上级政策资金扶持方向和重点，积极主动向上级部门汇报和对接，竭尽全力争取上级对我县转移支付和债券资金的支持，努力增加财政可支配财力</w:t>
      </w:r>
      <w:r>
        <w:rPr>
          <w:rFonts w:ascii="仿宋_GB2312" w:eastAsia="仿宋_GB2312" w:hAnsi="仿宋" w:hint="eastAsia"/>
          <w:b/>
          <w:sz w:val="32"/>
          <w:szCs w:val="32"/>
        </w:rPr>
        <w:t>；</w:t>
      </w:r>
      <w:r>
        <w:rPr>
          <w:rFonts w:ascii="仿宋_GB2312" w:eastAsia="仿宋_GB2312" w:hAnsi="仿宋" w:hint="eastAsia"/>
          <w:sz w:val="32"/>
          <w:szCs w:val="32"/>
        </w:rPr>
        <w:t>盘活财政存量资金。牢固树立“节支也是增收”的理念，调整和优化支出结构，完善预算执行约束机制，加快预算执行进度，结余资金以及连续两年未用完的结转资金一律收回财政统筹使用，避免资金沉淀闲置。</w:t>
      </w:r>
    </w:p>
    <w:p>
      <w:pPr>
        <w:spacing w:line="540" w:lineRule="exact"/>
        <w:ind w:firstLine="640" w:firstLineChars="200"/>
        <w:rPr>
          <w:rFonts w:ascii="仿宋_GB2312" w:eastAsia="仿宋_GB2312" w:hAnsi="宋体"/>
          <w:sz w:val="32"/>
          <w:szCs w:val="32"/>
        </w:rPr>
      </w:pPr>
      <w:r>
        <w:rPr>
          <w:rFonts w:ascii="楷体_GB2312" w:eastAsia="楷体_GB2312" w:hAnsi="宋体" w:hint="eastAsia"/>
          <w:b/>
          <w:sz w:val="32"/>
          <w:szCs w:val="32"/>
        </w:rPr>
        <w:t>（二）抓节支，统筹办好民生实事。</w:t>
      </w:r>
      <w:r>
        <w:rPr>
          <w:rFonts w:ascii="仿宋_GB2312" w:eastAsia="仿宋_GB2312" w:hAnsi="宋体" w:hint="eastAsia"/>
          <w:sz w:val="32"/>
          <w:szCs w:val="32"/>
        </w:rPr>
        <w:t xml:space="preserve">坚持精打细算，牢固树立过“紧日子”思想，严格控制“三公”经费和会议费、培训费增长，压缩一般性支出规模，坚持有保有压，突出重点；继续落实好“六稳”“六保”等重点领域资金保障，兜牢基层“三保”底线；坚持尽力而为、量力而行，落实好教育、社保、就业、医疗、住房保障等各项民生政策，加快民生项目资金拨付，确保民生资金早投入、人民群众早受益。 </w:t>
      </w:r>
    </w:p>
    <w:p>
      <w:pPr>
        <w:spacing w:line="540" w:lineRule="exact"/>
        <w:ind w:firstLine="640" w:firstLineChars="200"/>
        <w:rPr>
          <w:rFonts w:ascii="仿宋_GB2312" w:eastAsia="仿宋_GB2312" w:hAnsi="宋体"/>
          <w:sz w:val="32"/>
          <w:szCs w:val="32"/>
        </w:rPr>
      </w:pPr>
      <w:r>
        <w:rPr>
          <w:rFonts w:ascii="楷体_GB2312" w:eastAsia="楷体_GB2312" w:hAnsi="宋体" w:hint="eastAsia"/>
          <w:b/>
          <w:sz w:val="32"/>
          <w:szCs w:val="32"/>
        </w:rPr>
        <w:t>（三）抓保障，聚焦脱贫提质增效。</w:t>
      </w:r>
      <w:r>
        <w:rPr>
          <w:rFonts w:ascii="仿宋_GB2312" w:eastAsia="仿宋_GB2312" w:hAnsi="宋体" w:hint="eastAsia"/>
          <w:sz w:val="32"/>
          <w:szCs w:val="32"/>
        </w:rPr>
        <w:t>紧紧围绕全县经济发展战略大局，把脱贫攻坚与乡村振兴有效衔接作为第一民生工程，着力构建财政扶贫资金投入机制，全面落实产业扶持直补政策，积极引导支持有条件的村和有能力的户因地制宜发展增收项目，带动群众持续增收。改善基础设施短板，突出产业发展扶贫，进一步巩固脱贫攻坚重要成果。</w:t>
      </w:r>
    </w:p>
    <w:p>
      <w:pPr>
        <w:spacing w:line="540" w:lineRule="exact"/>
        <w:ind w:firstLine="640" w:firstLineChars="200"/>
        <w:rPr>
          <w:rFonts w:ascii="仿宋_GB2312" w:eastAsia="仿宋_GB2312" w:hAnsi="宋体"/>
          <w:sz w:val="32"/>
          <w:szCs w:val="32"/>
        </w:rPr>
      </w:pPr>
      <w:r>
        <w:rPr>
          <w:rFonts w:ascii="楷体_GB2312" w:eastAsia="楷体_GB2312" w:hAnsi="宋体" w:hint="eastAsia"/>
          <w:b/>
          <w:sz w:val="32"/>
          <w:szCs w:val="32"/>
        </w:rPr>
        <w:t>（四）抓改革，释放财税机制活力。</w:t>
      </w:r>
      <w:r>
        <w:rPr>
          <w:rFonts w:ascii="仿宋_GB2312" w:eastAsia="仿宋_GB2312" w:hAnsi="宋体" w:hint="eastAsia"/>
          <w:sz w:val="32"/>
          <w:szCs w:val="32"/>
        </w:rPr>
        <w:t>加强预算资金统筹管理，继续推进零基预算改革，编制部门综合预算，加大专项资金整合力度，提高预算编制质量；建立政府综合财务报告制度，编报政府层面的资产负债表；加快推进绩效财政建设，推行以绩效为目标、以结果为导向、以项目成本为衡量标准的财政支出绩效目标管理体制；进一步规范公开程序，细化公开内容，实施全面规范的预决算和</w:t>
      </w:r>
      <w:r>
        <w:rPr>
          <w:rFonts w:ascii="仿宋_GB2312" w:eastAsia="仿宋_GB2312" w:hAnsi="宋体" w:hint="eastAsia"/>
          <w:sz w:val="32"/>
          <w:szCs w:val="32"/>
        </w:rPr>
        <w:t>“三公”经费</w:t>
      </w:r>
      <w:r>
        <w:rPr>
          <w:rFonts w:ascii="仿宋_GB2312" w:eastAsia="仿宋_GB2312" w:hAnsi="宋体" w:hint="eastAsia"/>
          <w:sz w:val="32"/>
          <w:szCs w:val="32"/>
        </w:rPr>
        <w:t xml:space="preserve">公开机制，推进阳光财政建设。 </w:t>
      </w:r>
    </w:p>
    <w:p>
      <w:pPr>
        <w:spacing w:line="540" w:lineRule="exact"/>
        <w:ind w:firstLine="640" w:firstLineChars="200"/>
        <w:rPr>
          <w:rFonts w:ascii="仿宋_GB2312" w:eastAsia="仿宋_GB2312" w:hAnsi="宋体"/>
          <w:sz w:val="32"/>
          <w:szCs w:val="32"/>
        </w:rPr>
      </w:pPr>
      <w:r>
        <w:rPr>
          <w:rFonts w:ascii="楷体_GB2312" w:eastAsia="楷体_GB2312" w:hAnsi="宋体" w:hint="eastAsia"/>
          <w:b/>
          <w:sz w:val="32"/>
          <w:szCs w:val="32"/>
        </w:rPr>
        <w:t>（五）抓监管，提高财政管理水平。</w:t>
      </w:r>
      <w:r>
        <w:rPr>
          <w:rFonts w:ascii="仿宋_GB2312" w:eastAsia="仿宋_GB2312" w:hAnsi="宋体" w:hint="eastAsia"/>
          <w:sz w:val="32"/>
          <w:szCs w:val="32"/>
        </w:rPr>
        <w:t>进一步完善财政监督体系，健全财政监督机制，建立财政部门、主管部门、资金使用单位、审计部门相互联动的预算执行监督体系；加强监督检查结果的追踪问效和反馈机制，加强财政内部监督，从制度上保证监督检查的经常化、规范化，提高财政管理水平，确保财政资金安全；加强债务管理，完善债务风险预警及化解机制，强化政府性债务举债融资行为和PPP项目运营的财政监督，防控财政风险。</w:t>
      </w:r>
    </w:p>
    <w:p>
      <w:pPr>
        <w:spacing w:line="540" w:lineRule="exact"/>
        <w:ind w:firstLine="640" w:firstLineChars="200"/>
        <w:rPr>
          <w:rFonts w:ascii="仿宋_GB2312" w:eastAsia="仿宋_GB2312"/>
          <w:sz w:val="32"/>
          <w:szCs w:val="32"/>
        </w:rPr>
      </w:pPr>
      <w:r>
        <w:rPr>
          <w:rFonts w:ascii="仿宋_GB2312" w:eastAsia="仿宋_GB2312" w:hAnsi="宋体" w:hint="eastAsia"/>
          <w:sz w:val="32"/>
          <w:szCs w:val="32"/>
        </w:rPr>
        <w:t>各位代表，2022年我县财政工作任务艰巨、责任重大。我们将在县委的坚强领导下，在县人大及其常委会和县政协的监督支持下，进一步抢抓机遇，坚定信心，凝心聚力，实干创新，为全面建设“经济强县，魅力宽城”提供坚强的财力保障，以优异成绩迎接党的二十大胜利召开！</w:t>
      </w:r>
    </w:p>
    <w:p>
      <w:pPr>
        <w:jc w:val="cente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rPr>
          <w:rFonts w:ascii="宋体" w:hAnsi="宋体"/>
          <w:b/>
          <w:sz w:val="44"/>
          <w:szCs w:val="44"/>
        </w:rPr>
      </w:pPr>
    </w:p>
    <w:p>
      <w:pPr>
        <w:jc w:val="center"/>
        <w:rPr>
          <w:rFonts w:ascii="宋体" w:hAnsi="宋体"/>
          <w:b/>
          <w:sz w:val="36"/>
          <w:szCs w:val="36"/>
        </w:rPr>
      </w:pPr>
      <w:r>
        <w:rPr>
          <w:rFonts w:ascii="宋体" w:hAnsi="宋体" w:hint="eastAsia"/>
          <w:b/>
          <w:sz w:val="36"/>
          <w:szCs w:val="36"/>
        </w:rPr>
        <w:t>关于 2022 年县级预算公开有关事项的说明</w:t>
      </w:r>
    </w:p>
    <w:p>
      <w:pPr>
        <w:jc w:val="center"/>
        <w:rPr>
          <w:rFonts w:ascii="宋体" w:hAnsi="宋体"/>
          <w:b/>
          <w:sz w:val="36"/>
          <w:szCs w:val="36"/>
        </w:rPr>
      </w:pPr>
      <w:r>
        <w:rPr>
          <w:rFonts w:ascii="宋体" w:hAnsi="宋体" w:hint="eastAsia"/>
          <w:b/>
          <w:sz w:val="36"/>
          <w:szCs w:val="36"/>
        </w:rPr>
        <w:t>2022年财政拨款</w:t>
      </w:r>
    </w:p>
    <w:p>
      <w:pPr>
        <w:jc w:val="center"/>
        <w:rPr>
          <w:rFonts w:ascii="宋体" w:hAnsi="宋体"/>
          <w:b/>
          <w:sz w:val="36"/>
          <w:szCs w:val="36"/>
        </w:rPr>
      </w:pPr>
    </w:p>
    <w:p>
      <w:pPr>
        <w:jc w:val="center"/>
        <w:rPr>
          <w:rFonts w:ascii="宋体" w:hAnsi="宋体" w:cs="宋体"/>
          <w:b/>
          <w:kern w:val="0"/>
          <w:sz w:val="44"/>
          <w:szCs w:val="44"/>
        </w:rPr>
      </w:pPr>
      <w:r>
        <w:rPr>
          <w:rFonts w:ascii="宋体" w:hAnsi="宋体" w:cs="宋体" w:hint="eastAsia"/>
          <w:b/>
          <w:kern w:val="0"/>
          <w:sz w:val="44"/>
          <w:szCs w:val="44"/>
        </w:rPr>
        <w:t>“三公”经费预算安排情况</w:t>
      </w:r>
    </w:p>
    <w:p>
      <w:pPr>
        <w:ind w:firstLine="640" w:firstLineChars="200"/>
        <w:rPr>
          <w:rFonts w:ascii="仿宋_GB2312" w:eastAsia="仿宋_GB2312"/>
          <w:sz w:val="32"/>
          <w:szCs w:val="32"/>
        </w:rPr>
      </w:pPr>
      <w:r>
        <w:rPr>
          <w:rFonts w:ascii="仿宋_GB2312" w:eastAsia="仿宋_GB2312" w:hint="eastAsia"/>
          <w:sz w:val="32"/>
          <w:szCs w:val="32"/>
        </w:rPr>
        <w:t>2022年我单位财政拨款“三公”经费预算安排555万元，其中因公出国（境）费0万元，与上年持平；公务用车购置及运维费330万元（其中：公务用车购置费为0万元，与上年持平。公务用车运维费330万元，比2021年增加20万元，同比增加6.45%，增加的主要原因是车辆老化、维修费用增加、保险费用增加）；公务接待费225万元，比2021年减少7万元，同比下降3%，减少的主要原因是：缩减开支，减少接待活动；2022年“三公”经费与2021年相比增加13万元，同比增长2.3%，增长的主要原因是公务用车车辆老化、维修费用增加、保险费用增加等。</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宋体" w:hAnsi="宋体" w:cs="宋体"/>
          <w:b/>
          <w:kern w:val="0"/>
          <w:sz w:val="44"/>
          <w:szCs w:val="44"/>
        </w:rPr>
      </w:pPr>
    </w:p>
    <w:p>
      <w:pPr>
        <w:rPr>
          <w:rFonts w:ascii="宋体" w:hAnsi="宋体" w:cs="宋体"/>
          <w:b/>
          <w:kern w:val="0"/>
          <w:sz w:val="44"/>
          <w:szCs w:val="44"/>
        </w:rPr>
      </w:pPr>
    </w:p>
    <w:p>
      <w:pPr>
        <w:rPr>
          <w:rFonts w:ascii="宋体" w:hAnsi="宋体" w:cs="宋体"/>
          <w:b/>
          <w:kern w:val="0"/>
          <w:sz w:val="44"/>
          <w:szCs w:val="44"/>
        </w:rPr>
      </w:pPr>
    </w:p>
    <w:p>
      <w:pPr>
        <w:rPr>
          <w:rFonts w:ascii="宋体" w:hAnsi="宋体" w:cs="宋体"/>
          <w:b/>
          <w:kern w:val="0"/>
          <w:sz w:val="44"/>
          <w:szCs w:val="44"/>
        </w:rPr>
      </w:pPr>
    </w:p>
    <w:p>
      <w:pPr>
        <w:rPr>
          <w:rFonts w:ascii="宋体" w:hAnsi="宋体" w:cs="宋体"/>
          <w:b/>
          <w:kern w:val="0"/>
          <w:sz w:val="44"/>
          <w:szCs w:val="44"/>
        </w:rPr>
      </w:pPr>
    </w:p>
    <w:p>
      <w:pPr>
        <w:rPr>
          <w:rFonts w:ascii="宋体" w:hAnsi="宋体" w:cs="宋体"/>
          <w:b/>
          <w:kern w:val="0"/>
          <w:sz w:val="44"/>
          <w:szCs w:val="44"/>
        </w:rPr>
      </w:pPr>
    </w:p>
    <w:p>
      <w:pPr>
        <w:rPr>
          <w:rFonts w:ascii="宋体" w:hAnsi="宋体" w:cs="宋体"/>
          <w:b/>
          <w:kern w:val="0"/>
          <w:sz w:val="44"/>
          <w:szCs w:val="44"/>
        </w:rPr>
      </w:pPr>
    </w:p>
    <w:p>
      <w:pPr>
        <w:rPr>
          <w:rFonts w:ascii="宋体" w:hAnsi="宋体" w:cs="宋体"/>
          <w:b/>
          <w:kern w:val="0"/>
          <w:sz w:val="44"/>
          <w:szCs w:val="44"/>
        </w:rPr>
      </w:pPr>
    </w:p>
    <w:p>
      <w:pPr>
        <w:rPr>
          <w:rFonts w:ascii="宋体" w:hAnsi="宋体" w:cs="宋体"/>
          <w:b/>
          <w:kern w:val="0"/>
          <w:sz w:val="44"/>
          <w:szCs w:val="44"/>
        </w:rPr>
      </w:pPr>
    </w:p>
    <w:p>
      <w:pPr>
        <w:jc w:val="center"/>
        <w:rPr>
          <w:rFonts w:ascii="宋体" w:hAnsi="宋体" w:cs="宋体"/>
          <w:b/>
          <w:kern w:val="0"/>
          <w:sz w:val="44"/>
          <w:szCs w:val="44"/>
        </w:rPr>
      </w:pPr>
      <w:r>
        <w:rPr>
          <w:rFonts w:ascii="宋体" w:hAnsi="宋体" w:cs="宋体" w:hint="eastAsia"/>
          <w:b/>
          <w:kern w:val="0"/>
          <w:sz w:val="44"/>
          <w:szCs w:val="44"/>
        </w:rPr>
        <w:t>本级政府采购情况说明</w:t>
      </w:r>
    </w:p>
    <w:p>
      <w:pPr>
        <w:rPr>
          <w:rFonts w:ascii="仿宋_GB2312" w:eastAsia="仿宋_GB2312"/>
          <w:sz w:val="32"/>
          <w:szCs w:val="32"/>
        </w:rPr>
      </w:pPr>
      <w:r>
        <w:rPr>
          <w:rFonts w:ascii="仿宋_GB2312" w:eastAsia="仿宋_GB2312" w:hAnsi="宋体" w:cs="宋体" w:hint="eastAsia"/>
          <w:kern w:val="0"/>
          <w:sz w:val="32"/>
          <w:szCs w:val="32"/>
        </w:rPr>
        <w:t>2022年预算中，因财力有限，现有财力仅能优先保障人员工资，民生和经费类支出，未安排本级政府采购预算。</w:t>
      </w:r>
    </w:p>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
        <w:gridCol w:w="737"/>
        <w:gridCol w:w="737"/>
        <w:gridCol w:w="737"/>
        <w:gridCol w:w="737"/>
        <w:gridCol w:w="737"/>
        <w:gridCol w:w="737"/>
        <w:gridCol w:w="737"/>
        <w:gridCol w:w="737"/>
        <w:gridCol w:w="737"/>
        <w:gridCol w:w="737"/>
        <w:gridCol w:w="737"/>
        <w:gridCol w:w="737"/>
        <w:gridCol w:w="737"/>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blHeader/>
          <w:jc w:val="center"/>
        </w:trPr>
        <w:tc>
          <w:tcPr>
            <w:tcW w:w="737" w:type="dxa"/>
            <w:gridSpan w:val="2"/>
            <w:vAlign w:val="center"/>
          </w:tcPr>
          <w:p>
            <w:pPr>
              <w:spacing w:line="300" w:lineRule="exact"/>
              <w:jc w:val="center"/>
              <w:rPr>
                <w:rFonts w:ascii="方正书宋_GBK" w:eastAsia="方正书宋_GBK"/>
                <w:b/>
              </w:rPr>
            </w:pPr>
            <w:r>
              <w:rPr>
                <w:rFonts w:ascii="方正书宋_GBK" w:eastAsia="方正书宋_GBK" w:hint="eastAsia"/>
                <w:b/>
              </w:rPr>
              <w:t>政府采购项目来源</w:t>
            </w:r>
          </w:p>
        </w:tc>
        <w:tc>
          <w:tcPr>
            <w:tcW w:w="737" w:type="dxa"/>
            <w:vMerge w:val="restart"/>
            <w:vAlign w:val="center"/>
          </w:tcPr>
          <w:p>
            <w:pPr>
              <w:spacing w:line="300" w:lineRule="exact"/>
              <w:jc w:val="center"/>
              <w:rPr>
                <w:rFonts w:ascii="方正书宋_GBK" w:eastAsia="方正书宋_GBK"/>
                <w:b/>
              </w:rPr>
            </w:pPr>
            <w:r>
              <w:rPr>
                <w:rFonts w:ascii="方正书宋_GBK" w:eastAsia="方正书宋_GBK" w:hint="eastAsia"/>
                <w:b/>
              </w:rPr>
              <w:t>采购物品名称</w:t>
            </w:r>
          </w:p>
        </w:tc>
        <w:tc>
          <w:tcPr>
            <w:tcW w:w="737" w:type="dxa"/>
            <w:vMerge w:val="restart"/>
            <w:vAlign w:val="center"/>
          </w:tcPr>
          <w:p>
            <w:pPr>
              <w:spacing w:line="300" w:lineRule="exact"/>
              <w:jc w:val="center"/>
              <w:rPr>
                <w:rFonts w:ascii="方正书宋_GBK" w:eastAsia="方正书宋_GBK"/>
                <w:b/>
              </w:rPr>
            </w:pPr>
            <w:r>
              <w:rPr>
                <w:rFonts w:ascii="方正书宋_GBK" w:eastAsia="方正书宋_GBK" w:hint="eastAsia"/>
                <w:b/>
              </w:rPr>
              <w:t>政府采购目录序号</w:t>
            </w:r>
          </w:p>
        </w:tc>
        <w:tc>
          <w:tcPr>
            <w:tcW w:w="737" w:type="dxa"/>
            <w:vMerge w:val="restart"/>
            <w:vAlign w:val="center"/>
          </w:tcPr>
          <w:p>
            <w:pPr>
              <w:spacing w:line="300" w:lineRule="exact"/>
              <w:jc w:val="center"/>
              <w:rPr>
                <w:rFonts w:ascii="方正书宋_GBK" w:eastAsia="方正书宋_GBK"/>
                <w:b/>
              </w:rPr>
            </w:pPr>
            <w:r>
              <w:rPr>
                <w:rFonts w:ascii="方正书宋_GBK" w:eastAsia="方正书宋_GBK" w:hint="eastAsia"/>
                <w:b/>
              </w:rPr>
              <w:t>数量单位</w:t>
            </w:r>
          </w:p>
        </w:tc>
        <w:tc>
          <w:tcPr>
            <w:tcW w:w="737" w:type="dxa"/>
            <w:vMerge w:val="restart"/>
            <w:vAlign w:val="center"/>
          </w:tcPr>
          <w:p>
            <w:pPr>
              <w:spacing w:line="300" w:lineRule="exact"/>
              <w:jc w:val="center"/>
              <w:rPr>
                <w:rFonts w:ascii="方正书宋_GBK" w:eastAsia="方正书宋_GBK"/>
                <w:b/>
              </w:rPr>
            </w:pPr>
            <w:r>
              <w:rPr>
                <w:rFonts w:ascii="方正书宋_GBK" w:eastAsia="方正书宋_GBK" w:hint="eastAsia"/>
                <w:b/>
              </w:rPr>
              <w:t>数量</w:t>
            </w:r>
          </w:p>
        </w:tc>
        <w:tc>
          <w:tcPr>
            <w:tcW w:w="737" w:type="dxa"/>
            <w:vMerge w:val="restart"/>
            <w:vAlign w:val="center"/>
          </w:tcPr>
          <w:p>
            <w:pPr>
              <w:spacing w:line="300" w:lineRule="exact"/>
              <w:jc w:val="center"/>
              <w:rPr>
                <w:rFonts w:ascii="方正书宋_GBK" w:eastAsia="方正书宋_GBK"/>
                <w:b/>
              </w:rPr>
            </w:pPr>
            <w:r>
              <w:rPr>
                <w:rFonts w:ascii="方正书宋_GBK" w:eastAsia="方正书宋_GBK" w:hint="eastAsia"/>
                <w:b/>
              </w:rPr>
              <w:t>单价</w:t>
            </w:r>
          </w:p>
        </w:tc>
        <w:tc>
          <w:tcPr>
            <w:tcW w:w="737" w:type="dxa"/>
            <w:gridSpan w:val="7"/>
            <w:vAlign w:val="center"/>
          </w:tcPr>
          <w:p>
            <w:pPr>
              <w:spacing w:line="300" w:lineRule="exact"/>
              <w:jc w:val="center"/>
              <w:rPr>
                <w:rFonts w:ascii="方正书宋_GBK" w:eastAsia="方正书宋_GBK"/>
                <w:b/>
              </w:rPr>
            </w:pPr>
            <w:r>
              <w:rPr>
                <w:rFonts w:ascii="方正书宋_GBK" w:eastAsia="方正书宋_GBK" w:hint="eastAsia"/>
                <w:b/>
              </w:rPr>
              <w:t>政府采购金额</w:t>
            </w:r>
          </w:p>
        </w:tc>
      </w:tr>
      <w:tr>
        <w:tblPrEx>
          <w:tblW w:w="0" w:type="auto"/>
          <w:jc w:val="center"/>
          <w:tblLayout w:type="fixed"/>
          <w:tblCellMar>
            <w:top w:w="0" w:type="dxa"/>
            <w:left w:w="108" w:type="dxa"/>
            <w:bottom w:w="0" w:type="dxa"/>
            <w:right w:w="108" w:type="dxa"/>
          </w:tblCellMar>
        </w:tblPrEx>
        <w:trPr>
          <w:tblHeader/>
          <w:jc w:val="center"/>
        </w:trPr>
        <w:tc>
          <w:tcPr>
            <w:tcW w:w="737" w:type="dxa"/>
            <w:vMerge w:val="restart"/>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737" w:type="dxa"/>
            <w:vMerge w:val="restart"/>
            <w:vAlign w:val="center"/>
          </w:tcPr>
          <w:p>
            <w:pPr>
              <w:spacing w:line="300" w:lineRule="exact"/>
              <w:jc w:val="center"/>
              <w:rPr>
                <w:rFonts w:ascii="方正书宋_GBK" w:eastAsia="方正书宋_GBK"/>
                <w:b/>
              </w:rPr>
            </w:pPr>
            <w:r>
              <w:rPr>
                <w:rFonts w:ascii="方正书宋_GBK" w:eastAsia="方正书宋_GBK" w:hint="eastAsia"/>
                <w:b/>
              </w:rPr>
              <w:t>预算资金</w:t>
            </w:r>
          </w:p>
        </w:tc>
        <w:tc>
          <w:tcPr>
            <w:tcW w:w="737" w:type="dxa"/>
            <w:vMerge/>
            <w:vAlign w:val="center"/>
          </w:tcPr>
          <w:p>
            <w:pPr>
              <w:spacing w:line="300" w:lineRule="exact"/>
              <w:jc w:val="left"/>
              <w:outlineLvl w:val="0"/>
              <w:rPr>
                <w:b/>
              </w:rPr>
            </w:pPr>
          </w:p>
        </w:tc>
        <w:tc>
          <w:tcPr>
            <w:tcW w:w="737" w:type="dxa"/>
            <w:vMerge/>
            <w:vAlign w:val="center"/>
          </w:tcPr>
          <w:p>
            <w:pPr>
              <w:spacing w:line="300" w:lineRule="exact"/>
              <w:jc w:val="left"/>
              <w:outlineLvl w:val="0"/>
              <w:rPr>
                <w:b/>
              </w:rPr>
            </w:pPr>
          </w:p>
        </w:tc>
        <w:tc>
          <w:tcPr>
            <w:tcW w:w="737" w:type="dxa"/>
            <w:vMerge/>
            <w:vAlign w:val="center"/>
          </w:tcPr>
          <w:p>
            <w:pPr>
              <w:spacing w:line="300" w:lineRule="exact"/>
              <w:jc w:val="left"/>
              <w:outlineLvl w:val="0"/>
              <w:rPr>
                <w:b/>
              </w:rPr>
            </w:pPr>
          </w:p>
        </w:tc>
        <w:tc>
          <w:tcPr>
            <w:tcW w:w="737" w:type="dxa"/>
            <w:vMerge/>
            <w:vAlign w:val="center"/>
          </w:tcPr>
          <w:p>
            <w:pPr>
              <w:spacing w:line="300" w:lineRule="exact"/>
              <w:jc w:val="left"/>
              <w:outlineLvl w:val="0"/>
              <w:rPr>
                <w:b/>
              </w:rPr>
            </w:pPr>
          </w:p>
        </w:tc>
        <w:tc>
          <w:tcPr>
            <w:tcW w:w="737" w:type="dxa"/>
            <w:vMerge/>
            <w:vAlign w:val="center"/>
          </w:tcPr>
          <w:p>
            <w:pPr>
              <w:spacing w:line="300" w:lineRule="exact"/>
              <w:jc w:val="left"/>
              <w:outlineLvl w:val="0"/>
              <w:rPr>
                <w:b/>
              </w:rPr>
            </w:pPr>
          </w:p>
        </w:tc>
        <w:tc>
          <w:tcPr>
            <w:tcW w:w="737" w:type="dxa"/>
            <w:vMerge w:val="restart"/>
            <w:vAlign w:val="center"/>
          </w:tcPr>
          <w:p>
            <w:pPr>
              <w:spacing w:line="300" w:lineRule="exact"/>
              <w:jc w:val="center"/>
              <w:rPr>
                <w:rFonts w:ascii="方正书宋_GBK" w:eastAsia="方正书宋_GBK"/>
                <w:b/>
              </w:rPr>
            </w:pPr>
            <w:r>
              <w:rPr>
                <w:rFonts w:ascii="方正书宋_GBK" w:eastAsia="方正书宋_GBK" w:hint="eastAsia"/>
                <w:b/>
              </w:rPr>
              <w:t>总计</w:t>
            </w:r>
          </w:p>
        </w:tc>
        <w:tc>
          <w:tcPr>
            <w:tcW w:w="737" w:type="dxa"/>
            <w:gridSpan w:val="5"/>
            <w:vAlign w:val="center"/>
          </w:tcPr>
          <w:p>
            <w:pPr>
              <w:spacing w:line="300" w:lineRule="exact"/>
              <w:jc w:val="center"/>
              <w:rPr>
                <w:rFonts w:ascii="方正书宋_GBK" w:eastAsia="方正书宋_GBK"/>
                <w:b/>
              </w:rPr>
            </w:pPr>
            <w:r>
              <w:rPr>
                <w:rFonts w:ascii="方正书宋_GBK" w:eastAsia="方正书宋_GBK" w:hint="eastAsia"/>
                <w:b/>
              </w:rPr>
              <w:t>当年部门预算安排资金</w:t>
            </w:r>
          </w:p>
        </w:tc>
        <w:tc>
          <w:tcPr>
            <w:tcW w:w="737" w:type="dxa"/>
            <w:vMerge w:val="restart"/>
            <w:vAlign w:val="center"/>
          </w:tcPr>
          <w:p>
            <w:pPr>
              <w:spacing w:line="300" w:lineRule="exact"/>
              <w:jc w:val="center"/>
              <w:rPr>
                <w:rFonts w:ascii="方正书宋_GBK" w:eastAsia="方正书宋_GBK"/>
                <w:b/>
              </w:rPr>
            </w:pPr>
            <w:r>
              <w:rPr>
                <w:rFonts w:ascii="方正书宋_GBK" w:eastAsia="方正书宋_GBK" w:hint="eastAsia"/>
                <w:b/>
              </w:rPr>
              <w:t>其他渠道资金</w:t>
            </w:r>
          </w:p>
        </w:tc>
      </w:tr>
      <w:tr>
        <w:tblPrEx>
          <w:tblW w:w="0" w:type="auto"/>
          <w:jc w:val="center"/>
          <w:tblLayout w:type="fixed"/>
          <w:tblCellMar>
            <w:top w:w="0" w:type="dxa"/>
            <w:left w:w="108" w:type="dxa"/>
            <w:bottom w:w="0" w:type="dxa"/>
            <w:right w:w="108" w:type="dxa"/>
          </w:tblCellMar>
        </w:tblPrEx>
        <w:trPr>
          <w:tblHeader/>
          <w:jc w:val="center"/>
        </w:trPr>
        <w:tc>
          <w:tcPr>
            <w:tcW w:w="737" w:type="dxa"/>
            <w:vMerge/>
            <w:vAlign w:val="center"/>
          </w:tcPr>
          <w:p>
            <w:pPr>
              <w:spacing w:line="300" w:lineRule="exact"/>
              <w:jc w:val="left"/>
              <w:outlineLvl w:val="0"/>
              <w:rPr>
                <w:b/>
              </w:rPr>
            </w:pPr>
          </w:p>
        </w:tc>
        <w:tc>
          <w:tcPr>
            <w:tcW w:w="737" w:type="dxa"/>
            <w:vMerge/>
            <w:vAlign w:val="center"/>
          </w:tcPr>
          <w:p>
            <w:pPr>
              <w:spacing w:line="300" w:lineRule="exact"/>
              <w:jc w:val="left"/>
              <w:outlineLvl w:val="0"/>
              <w:rPr>
                <w:b/>
              </w:rPr>
            </w:pPr>
          </w:p>
        </w:tc>
        <w:tc>
          <w:tcPr>
            <w:tcW w:w="737" w:type="dxa"/>
            <w:vMerge/>
            <w:vAlign w:val="center"/>
          </w:tcPr>
          <w:p>
            <w:pPr>
              <w:spacing w:line="300" w:lineRule="exact"/>
              <w:jc w:val="left"/>
              <w:outlineLvl w:val="0"/>
              <w:rPr>
                <w:b/>
              </w:rPr>
            </w:pPr>
          </w:p>
        </w:tc>
        <w:tc>
          <w:tcPr>
            <w:tcW w:w="737" w:type="dxa"/>
            <w:vMerge/>
            <w:vAlign w:val="center"/>
          </w:tcPr>
          <w:p>
            <w:pPr>
              <w:spacing w:line="300" w:lineRule="exact"/>
              <w:jc w:val="left"/>
              <w:outlineLvl w:val="0"/>
              <w:rPr>
                <w:b/>
              </w:rPr>
            </w:pPr>
          </w:p>
        </w:tc>
        <w:tc>
          <w:tcPr>
            <w:tcW w:w="737" w:type="dxa"/>
            <w:vMerge/>
            <w:vAlign w:val="center"/>
          </w:tcPr>
          <w:p>
            <w:pPr>
              <w:spacing w:line="300" w:lineRule="exact"/>
              <w:jc w:val="left"/>
              <w:outlineLvl w:val="0"/>
              <w:rPr>
                <w:b/>
              </w:rPr>
            </w:pPr>
          </w:p>
        </w:tc>
        <w:tc>
          <w:tcPr>
            <w:tcW w:w="737" w:type="dxa"/>
            <w:vMerge/>
            <w:vAlign w:val="center"/>
          </w:tcPr>
          <w:p>
            <w:pPr>
              <w:spacing w:line="300" w:lineRule="exact"/>
              <w:jc w:val="left"/>
              <w:outlineLvl w:val="0"/>
              <w:rPr>
                <w:b/>
              </w:rPr>
            </w:pPr>
          </w:p>
        </w:tc>
        <w:tc>
          <w:tcPr>
            <w:tcW w:w="737" w:type="dxa"/>
            <w:vMerge/>
            <w:vAlign w:val="center"/>
          </w:tcPr>
          <w:p>
            <w:pPr>
              <w:spacing w:line="300" w:lineRule="exact"/>
              <w:jc w:val="left"/>
              <w:outlineLvl w:val="0"/>
              <w:rPr>
                <w:b/>
              </w:rPr>
            </w:pPr>
          </w:p>
        </w:tc>
        <w:tc>
          <w:tcPr>
            <w:tcW w:w="737" w:type="dxa"/>
            <w:vMerge/>
            <w:vAlign w:val="center"/>
          </w:tcPr>
          <w:p>
            <w:pPr>
              <w:spacing w:line="300" w:lineRule="exact"/>
              <w:jc w:val="left"/>
              <w:outlineLvl w:val="0"/>
              <w:rPr>
                <w:b/>
              </w:rPr>
            </w:pPr>
          </w:p>
        </w:tc>
        <w:tc>
          <w:tcPr>
            <w:tcW w:w="737" w:type="dxa"/>
            <w:vAlign w:val="center"/>
          </w:tcPr>
          <w:p>
            <w:pPr>
              <w:spacing w:line="300" w:lineRule="exact"/>
              <w:jc w:val="center"/>
              <w:rPr>
                <w:rFonts w:ascii="方正书宋_GBK" w:eastAsia="方正书宋_GBK"/>
                <w:b/>
              </w:rPr>
            </w:pPr>
            <w:r>
              <w:rPr>
                <w:rFonts w:ascii="方正书宋_GBK" w:eastAsia="方正书宋_GBK" w:hint="eastAsia"/>
                <w:b/>
              </w:rPr>
              <w:t>合计</w:t>
            </w:r>
          </w:p>
        </w:tc>
        <w:tc>
          <w:tcPr>
            <w:tcW w:w="737" w:type="dxa"/>
            <w:vAlign w:val="center"/>
          </w:tcPr>
          <w:p>
            <w:pPr>
              <w:spacing w:line="300" w:lineRule="exact"/>
              <w:jc w:val="center"/>
              <w:rPr>
                <w:rFonts w:ascii="方正书宋_GBK" w:eastAsia="方正书宋_GBK"/>
                <w:b/>
              </w:rPr>
            </w:pPr>
            <w:r>
              <w:rPr>
                <w:rFonts w:ascii="方正书宋_GBK" w:eastAsia="方正书宋_GBK" w:hint="eastAsia"/>
                <w:b/>
              </w:rPr>
              <w:t>一般公共预算拨款</w:t>
            </w:r>
          </w:p>
        </w:tc>
        <w:tc>
          <w:tcPr>
            <w:tcW w:w="737" w:type="dxa"/>
            <w:vAlign w:val="center"/>
          </w:tcPr>
          <w:p>
            <w:pPr>
              <w:spacing w:line="300" w:lineRule="exact"/>
              <w:jc w:val="center"/>
              <w:rPr>
                <w:rFonts w:ascii="方正书宋_GBK" w:eastAsia="方正书宋_GBK"/>
                <w:b/>
              </w:rPr>
            </w:pPr>
            <w:r>
              <w:rPr>
                <w:rFonts w:ascii="方正书宋_GBK" w:eastAsia="方正书宋_GBK" w:hint="eastAsia"/>
                <w:b/>
              </w:rPr>
              <w:t>基金预算拨款</w:t>
            </w:r>
          </w:p>
        </w:tc>
        <w:tc>
          <w:tcPr>
            <w:tcW w:w="737" w:type="dxa"/>
            <w:vAlign w:val="center"/>
          </w:tcPr>
          <w:p>
            <w:pPr>
              <w:spacing w:line="300" w:lineRule="exact"/>
              <w:jc w:val="center"/>
              <w:rPr>
                <w:rFonts w:ascii="方正书宋_GBK" w:eastAsia="方正书宋_GBK"/>
                <w:b/>
              </w:rPr>
            </w:pPr>
            <w:r>
              <w:rPr>
                <w:rFonts w:ascii="方正书宋_GBK" w:eastAsia="方正书宋_GBK" w:hint="eastAsia"/>
                <w:b/>
              </w:rPr>
              <w:t>财政专户核拨</w:t>
            </w:r>
          </w:p>
        </w:tc>
        <w:tc>
          <w:tcPr>
            <w:tcW w:w="737" w:type="dxa"/>
            <w:vAlign w:val="center"/>
          </w:tcPr>
          <w:p>
            <w:pPr>
              <w:spacing w:line="300" w:lineRule="exact"/>
              <w:jc w:val="center"/>
              <w:rPr>
                <w:rFonts w:ascii="方正书宋_GBK" w:eastAsia="方正书宋_GBK"/>
                <w:b/>
              </w:rPr>
            </w:pPr>
            <w:r>
              <w:rPr>
                <w:rFonts w:ascii="方正书宋_GBK" w:eastAsia="方正书宋_GBK" w:hint="eastAsia"/>
                <w:b/>
              </w:rPr>
              <w:t>其他来源收入</w:t>
            </w:r>
          </w:p>
        </w:tc>
        <w:tc>
          <w:tcPr>
            <w:tcW w:w="737" w:type="dxa"/>
            <w:vMerge/>
            <w:vAlign w:val="center"/>
          </w:tcPr>
          <w:p>
            <w:pPr>
              <w:spacing w:line="300" w:lineRule="exact"/>
              <w:jc w:val="left"/>
              <w:outlineLvl w:val="0"/>
              <w:rPr>
                <w:b/>
              </w:rPr>
            </w:pPr>
          </w:p>
        </w:tc>
      </w:tr>
      <w:tr>
        <w:tblPrEx>
          <w:tblW w:w="0" w:type="auto"/>
          <w:jc w:val="center"/>
          <w:tblLayout w:type="fixed"/>
          <w:tblCellMar>
            <w:top w:w="0" w:type="dxa"/>
            <w:left w:w="108" w:type="dxa"/>
            <w:bottom w:w="0" w:type="dxa"/>
            <w:right w:w="108" w:type="dxa"/>
          </w:tblCellMar>
        </w:tblPrEx>
        <w:trPr>
          <w:trHeight w:val="525"/>
          <w:jc w:val="center"/>
        </w:trPr>
        <w:tc>
          <w:tcPr>
            <w:tcW w:w="737" w:type="dxa"/>
            <w:vAlign w:val="center"/>
          </w:tcPr>
          <w:p>
            <w:pPr>
              <w:spacing w:line="300" w:lineRule="exact"/>
              <w:jc w:val="center"/>
              <w:rPr>
                <w:rFonts w:ascii="方正书宋_GBK" w:eastAsia="方正书宋_GBK"/>
                <w:b/>
              </w:rPr>
            </w:pPr>
            <w:r>
              <w:rPr>
                <w:rFonts w:ascii="方正书宋_GBK" w:eastAsia="方正书宋_GBK" w:hint="eastAsia"/>
                <w:b/>
              </w:rPr>
              <w:t>合　计</w:t>
            </w:r>
          </w:p>
        </w:tc>
        <w:tc>
          <w:tcPr>
            <w:tcW w:w="737" w:type="dxa"/>
            <w:vAlign w:val="center"/>
          </w:tcPr>
          <w:p>
            <w:pPr>
              <w:spacing w:line="300" w:lineRule="exact"/>
              <w:jc w:val="right"/>
              <w:rPr>
                <w:rFonts w:ascii="方正书宋_GBK" w:eastAsia="方正书宋_GBK"/>
                <w:b/>
              </w:rPr>
            </w:pPr>
            <w:r>
              <w:rPr>
                <w:rFonts w:ascii="方正书宋_GBK" w:eastAsia="方正书宋_GBK" w:hint="eastAsia"/>
                <w:b/>
              </w:rPr>
              <w:t>无</w:t>
            </w:r>
          </w:p>
        </w:tc>
        <w:tc>
          <w:tcPr>
            <w:tcW w:w="737" w:type="dxa"/>
            <w:vAlign w:val="center"/>
          </w:tcPr>
          <w:p>
            <w:pPr>
              <w:spacing w:line="300" w:lineRule="exact"/>
              <w:jc w:val="left"/>
              <w:rPr>
                <w:rFonts w:ascii="方正书宋_GBK" w:eastAsia="方正书宋_GBK"/>
                <w:b/>
              </w:rPr>
            </w:pPr>
          </w:p>
        </w:tc>
        <w:tc>
          <w:tcPr>
            <w:tcW w:w="737" w:type="dxa"/>
            <w:vAlign w:val="center"/>
          </w:tcPr>
          <w:p>
            <w:pPr>
              <w:spacing w:line="300" w:lineRule="exact"/>
              <w:jc w:val="left"/>
              <w:rPr>
                <w:rFonts w:ascii="方正书宋_GBK" w:eastAsia="方正书宋_GBK"/>
                <w:b/>
              </w:rPr>
            </w:pPr>
          </w:p>
        </w:tc>
        <w:tc>
          <w:tcPr>
            <w:tcW w:w="737" w:type="dxa"/>
            <w:vAlign w:val="center"/>
          </w:tcPr>
          <w:p>
            <w:pPr>
              <w:spacing w:line="300" w:lineRule="exact"/>
              <w:jc w:val="lef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r>
      <w:tr>
        <w:tblPrEx>
          <w:tblW w:w="0" w:type="auto"/>
          <w:jc w:val="center"/>
          <w:tblLayout w:type="fixed"/>
          <w:tblCellMar>
            <w:top w:w="0" w:type="dxa"/>
            <w:left w:w="108" w:type="dxa"/>
            <w:bottom w:w="0" w:type="dxa"/>
            <w:right w:w="108" w:type="dxa"/>
          </w:tblCellMar>
        </w:tblPrEx>
        <w:trPr>
          <w:trHeight w:val="675"/>
          <w:jc w:val="center"/>
        </w:trPr>
        <w:tc>
          <w:tcPr>
            <w:tcW w:w="737" w:type="dxa"/>
            <w:vAlign w:val="center"/>
          </w:tcPr>
          <w:p>
            <w:pPr>
              <w:spacing w:line="300" w:lineRule="exact"/>
              <w:jc w:val="center"/>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left"/>
              <w:rPr>
                <w:rFonts w:ascii="方正书宋_GBK" w:eastAsia="方正书宋_GBK"/>
                <w:b/>
              </w:rPr>
            </w:pPr>
          </w:p>
        </w:tc>
        <w:tc>
          <w:tcPr>
            <w:tcW w:w="737" w:type="dxa"/>
            <w:vAlign w:val="center"/>
          </w:tcPr>
          <w:p>
            <w:pPr>
              <w:spacing w:line="300" w:lineRule="exact"/>
              <w:jc w:val="left"/>
              <w:rPr>
                <w:rFonts w:ascii="方正书宋_GBK" w:eastAsia="方正书宋_GBK"/>
                <w:b/>
              </w:rPr>
            </w:pPr>
          </w:p>
        </w:tc>
        <w:tc>
          <w:tcPr>
            <w:tcW w:w="737" w:type="dxa"/>
            <w:vAlign w:val="center"/>
          </w:tcPr>
          <w:p>
            <w:pPr>
              <w:spacing w:line="300" w:lineRule="exact"/>
              <w:jc w:val="lef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c>
          <w:tcPr>
            <w:tcW w:w="737" w:type="dxa"/>
            <w:vAlign w:val="center"/>
          </w:tcPr>
          <w:p>
            <w:pPr>
              <w:spacing w:line="300" w:lineRule="exact"/>
              <w:jc w:val="right"/>
              <w:rPr>
                <w:rFonts w:ascii="方正书宋_GBK" w:eastAsia="方正书宋_GBK"/>
                <w:b/>
              </w:rPr>
            </w:pPr>
          </w:p>
        </w:tc>
      </w:tr>
    </w:tbl>
    <w:p>
      <w:pPr>
        <w:jc w:val="left"/>
        <w:rPr>
          <w:rFonts w:eastAsia="仿宋_GB2312"/>
          <w:kern w:val="0"/>
          <w:sz w:val="20"/>
          <w:szCs w:val="20"/>
        </w:rPr>
      </w:pPr>
      <w:r>
        <w:rPr>
          <w:rFonts w:eastAsia="仿宋_GB2312"/>
          <w:kern w:val="0"/>
          <w:sz w:val="20"/>
          <w:szCs w:val="20"/>
        </w:rPr>
        <w:t>注：</w:t>
      </w:r>
      <w:r>
        <w:rPr>
          <w:rFonts w:eastAsia="仿宋_GB2312" w:hint="eastAsia"/>
          <w:kern w:val="0"/>
          <w:sz w:val="20"/>
          <w:szCs w:val="20"/>
        </w:rPr>
        <w:t>本年度</w:t>
      </w:r>
      <w:r>
        <w:rPr>
          <w:rFonts w:eastAsia="仿宋_GB2312"/>
          <w:kern w:val="0"/>
          <w:sz w:val="20"/>
          <w:szCs w:val="20"/>
        </w:rPr>
        <w:t>无政府采购预算，</w:t>
      </w:r>
      <w:r>
        <w:rPr>
          <w:rFonts w:eastAsia="仿宋_GB2312" w:hint="eastAsia"/>
          <w:kern w:val="0"/>
          <w:sz w:val="20"/>
          <w:szCs w:val="20"/>
        </w:rPr>
        <w:t>按要求予以</w:t>
      </w:r>
      <w:r>
        <w:rPr>
          <w:rFonts w:eastAsia="仿宋_GB2312"/>
          <w:kern w:val="0"/>
          <w:sz w:val="20"/>
          <w:szCs w:val="20"/>
        </w:rPr>
        <w:t>空表列示。</w:t>
      </w:r>
    </w:p>
    <w:p/>
    <w:p/>
    <w:p/>
    <w:p/>
    <w:p/>
    <w:p/>
    <w:p/>
    <w:p/>
    <w:p/>
    <w:p/>
    <w:p/>
    <w:p/>
    <w:p/>
    <w:p/>
    <w:p/>
    <w:p/>
    <w:p/>
    <w:p/>
    <w:p/>
    <w:p/>
    <w:p/>
    <w:p/>
    <w:p/>
    <w:p/>
    <w:p/>
    <w:p/>
    <w:p/>
    <w:p/>
    <w:p/>
    <w:p/>
    <w:p/>
    <w:p>
      <w:pPr>
        <w:jc w:val="center"/>
        <w:rPr>
          <w:rFonts w:ascii="宋体" w:hAnsi="宋体" w:cs="宋体"/>
          <w:b/>
          <w:kern w:val="0"/>
          <w:sz w:val="44"/>
          <w:szCs w:val="44"/>
        </w:rPr>
      </w:pPr>
      <w:r>
        <w:rPr>
          <w:rFonts w:ascii="宋体" w:hAnsi="宋体" w:cs="宋体" w:hint="eastAsia"/>
          <w:b/>
          <w:kern w:val="0"/>
          <w:sz w:val="44"/>
          <w:szCs w:val="44"/>
        </w:rPr>
        <w:t>对下转移支付项目绩效目标情况说明</w:t>
      </w:r>
    </w:p>
    <w:p>
      <w:pPr>
        <w:ind w:firstLine="640" w:firstLineChars="200"/>
        <w:rPr>
          <w:rFonts w:ascii="仿宋_GB2312" w:eastAsia="仿宋_GB2312" w:hAnsi="宋体" w:cs="宋体"/>
          <w:kern w:val="0"/>
          <w:sz w:val="32"/>
          <w:szCs w:val="32"/>
        </w:rPr>
      </w:pPr>
      <w:r>
        <w:rPr>
          <w:rFonts w:ascii="仿宋_GB2312" w:eastAsia="仿宋_GB2312" w:hAnsi="宋体" w:cs="宋体" w:hint="eastAsia"/>
          <w:kern w:val="0"/>
          <w:sz w:val="32"/>
          <w:szCs w:val="32"/>
        </w:rPr>
        <w:t>因</w:t>
      </w:r>
      <w:r>
        <w:rPr>
          <w:rFonts w:ascii="仿宋_GB2312" w:eastAsia="仿宋_GB2312" w:hAnsi="宋体" w:cs="宋体"/>
          <w:kern w:val="0"/>
          <w:sz w:val="32"/>
          <w:szCs w:val="32"/>
        </w:rPr>
        <w:t>我县所属乡镇管理制度按照同级预算单位管理，转移支付不再对其进行分配，</w:t>
      </w:r>
      <w:r>
        <w:rPr>
          <w:rFonts w:ascii="仿宋_GB2312" w:eastAsia="仿宋_GB2312" w:hAnsi="宋体" w:cs="宋体" w:hint="eastAsia"/>
          <w:kern w:val="0"/>
          <w:sz w:val="32"/>
          <w:szCs w:val="32"/>
        </w:rPr>
        <w:t>未安排本级对下转移支付项目绩效预算。</w:t>
      </w:r>
    </w:p>
    <w:tbl>
      <w:tblPr>
        <w:tblStyle w:val="TableNormal"/>
        <w:tblW w:w="5000" w:type="pct"/>
        <w:tblInd w:w="0" w:type="dxa"/>
        <w:tblCellMar>
          <w:top w:w="0" w:type="dxa"/>
          <w:left w:w="108" w:type="dxa"/>
          <w:bottom w:w="0" w:type="dxa"/>
          <w:right w:w="108" w:type="dxa"/>
        </w:tblCellMar>
      </w:tblPr>
      <w:tblGrid>
        <w:gridCol w:w="5110"/>
        <w:gridCol w:w="4398"/>
      </w:tblGrid>
      <w:tr>
        <w:tblPrEx>
          <w:tblW w:w="5000" w:type="pct"/>
          <w:tblInd w:w="0" w:type="dxa"/>
          <w:tblCellMar>
            <w:top w:w="0" w:type="dxa"/>
            <w:left w:w="108" w:type="dxa"/>
            <w:bottom w:w="0" w:type="dxa"/>
            <w:right w:w="108" w:type="dxa"/>
          </w:tblCellMar>
        </w:tblPrEx>
        <w:trPr>
          <w:trHeight w:val="300"/>
        </w:trPr>
        <w:tc>
          <w:tcPr>
            <w:tcW w:w="2687" w:type="pct"/>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b/>
                <w:bCs/>
                <w:kern w:val="0"/>
                <w:sz w:val="18"/>
                <w:szCs w:val="18"/>
              </w:rPr>
            </w:pPr>
            <w:r>
              <w:rPr>
                <w:rFonts w:ascii="宋体" w:hAnsi="宋体" w:cs="宋体" w:hint="eastAsia"/>
                <w:b/>
                <w:bCs/>
                <w:kern w:val="0"/>
                <w:sz w:val="18"/>
                <w:szCs w:val="18"/>
              </w:rPr>
              <w:t>地区</w:t>
            </w:r>
          </w:p>
        </w:tc>
        <w:tc>
          <w:tcPr>
            <w:tcW w:w="2313" w:type="pct"/>
            <w:tcBorders>
              <w:top w:val="single" w:sz="4" w:space="0" w:color="auto"/>
              <w:left w:val="nil"/>
              <w:bottom w:val="single" w:sz="4" w:space="0" w:color="auto"/>
              <w:right w:val="single" w:sz="4" w:space="0" w:color="auto"/>
            </w:tcBorders>
            <w:vAlign w:val="center"/>
          </w:tcPr>
          <w:p>
            <w:pPr>
              <w:widowControl/>
              <w:jc w:val="center"/>
              <w:rPr>
                <w:rFonts w:ascii="宋体" w:hAnsi="宋体" w:cs="宋体"/>
                <w:b/>
                <w:bCs/>
                <w:kern w:val="0"/>
                <w:sz w:val="18"/>
                <w:szCs w:val="18"/>
              </w:rPr>
            </w:pPr>
            <w:r>
              <w:rPr>
                <w:rFonts w:ascii="宋体" w:hAnsi="宋体" w:cs="宋体" w:hint="eastAsia"/>
                <w:b/>
                <w:bCs/>
                <w:kern w:val="0"/>
                <w:sz w:val="18"/>
                <w:szCs w:val="18"/>
              </w:rPr>
              <w:t>决算数</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宽城镇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龙须门镇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峪耳崖镇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板城镇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汤道河镇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桲罗台镇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碾子峪镇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亮甲台镇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松岭镇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化皮镇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塌山乡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孟子岭乡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独石沟乡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铧尖乡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东川乡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苇子沟乡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大字沟乡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大石柱子乡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tblInd w:w="0" w:type="dxa"/>
          <w:tblCellMar>
            <w:top w:w="0" w:type="dxa"/>
            <w:left w:w="108" w:type="dxa"/>
            <w:bottom w:w="0" w:type="dxa"/>
            <w:right w:w="108" w:type="dxa"/>
          </w:tblCellMar>
        </w:tblPrEx>
        <w:trPr>
          <w:trHeight w:val="405"/>
        </w:trPr>
        <w:tc>
          <w:tcPr>
            <w:tcW w:w="2687" w:type="pct"/>
            <w:tcBorders>
              <w:top w:val="nil"/>
              <w:left w:val="single" w:sz="4" w:space="0" w:color="auto"/>
              <w:bottom w:val="single" w:sz="4" w:space="0" w:color="auto"/>
              <w:right w:val="single" w:sz="4" w:space="0" w:color="auto"/>
            </w:tcBorders>
            <w:vAlign w:val="center"/>
          </w:tcPr>
          <w:p>
            <w:pPr>
              <w:widowControl/>
              <w:jc w:val="center"/>
              <w:rPr>
                <w:rFonts w:ascii="宋体" w:hAnsi="宋体" w:cs="宋体"/>
                <w:kern w:val="0"/>
                <w:sz w:val="18"/>
                <w:szCs w:val="18"/>
              </w:rPr>
            </w:pPr>
            <w:r>
              <w:rPr>
                <w:rFonts w:ascii="宋体" w:hAnsi="宋体" w:cs="宋体" w:hint="eastAsia"/>
                <w:kern w:val="0"/>
                <w:sz w:val="18"/>
                <w:szCs w:val="18"/>
              </w:rPr>
              <w:t>合计</w:t>
            </w:r>
          </w:p>
        </w:tc>
        <w:tc>
          <w:tcPr>
            <w:tcW w:w="2313" w:type="pct"/>
            <w:tcBorders>
              <w:top w:val="nil"/>
              <w:left w:val="nil"/>
              <w:bottom w:val="single" w:sz="4" w:space="0" w:color="auto"/>
              <w:right w:val="single" w:sz="4" w:space="0" w:color="auto"/>
            </w:tcBorders>
            <w:vAlign w:val="center"/>
          </w:tcPr>
          <w:p>
            <w:pPr>
              <w:widowControl/>
              <w:jc w:val="center"/>
              <w:rPr>
                <w:rFonts w:ascii="宋体" w:hAnsi="宋体" w:cs="宋体"/>
                <w:kern w:val="0"/>
                <w:sz w:val="18"/>
                <w:szCs w:val="18"/>
              </w:rPr>
            </w:pPr>
            <w:r>
              <w:rPr>
                <w:rFonts w:ascii="宋体" w:hAnsi="宋体" w:cs="宋体" w:hint="eastAsia"/>
                <w:kern w:val="0"/>
                <w:sz w:val="18"/>
                <w:szCs w:val="18"/>
              </w:rPr>
              <w:t>　</w:t>
            </w:r>
          </w:p>
        </w:tc>
      </w:tr>
    </w:tbl>
    <w:p>
      <w:pPr>
        <w:widowControl/>
        <w:spacing w:line="560" w:lineRule="exact"/>
        <w:rPr>
          <w:rFonts w:eastAsia="仿宋_GB2312"/>
          <w:kern w:val="0"/>
          <w:sz w:val="20"/>
          <w:szCs w:val="20"/>
        </w:rPr>
      </w:pPr>
      <w:r>
        <w:rPr>
          <w:rFonts w:eastAsia="仿宋_GB2312" w:hint="eastAsia"/>
          <w:kern w:val="0"/>
          <w:sz w:val="20"/>
          <w:szCs w:val="20"/>
        </w:rPr>
        <w:t>备注：我县所属乡镇管理制度按照同级预算单位管理，按要求予以空表列示。</w:t>
      </w:r>
    </w:p>
    <w:p>
      <w:pPr>
        <w:rPr>
          <w:rFonts w:ascii="仿宋_GB2312" w:eastAsia="仿宋_GB2312" w:hAnsi="宋体" w:cs="宋体"/>
          <w:kern w:val="0"/>
          <w:sz w:val="32"/>
          <w:szCs w:val="32"/>
        </w:rPr>
      </w:pPr>
    </w:p>
    <w:p>
      <w:pPr>
        <w:rPr>
          <w:rFonts w:ascii="仿宋_GB2312" w:eastAsia="仿宋_GB2312" w:hAnsi="宋体" w:cs="宋体"/>
          <w:kern w:val="0"/>
          <w:sz w:val="32"/>
          <w:szCs w:val="32"/>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rPr>
          <w:rFonts w:ascii="宋体" w:hAnsi="宋体" w:cs="宋体"/>
          <w:b/>
          <w:kern w:val="0"/>
          <w:sz w:val="44"/>
          <w:szCs w:val="44"/>
        </w:rPr>
      </w:pPr>
    </w:p>
    <w:p>
      <w:pPr>
        <w:jc w:val="center"/>
        <w:rPr>
          <w:rFonts w:ascii="宋体" w:hAnsi="宋体" w:cs="宋体"/>
          <w:b/>
          <w:kern w:val="0"/>
          <w:sz w:val="44"/>
          <w:szCs w:val="44"/>
        </w:rPr>
      </w:pPr>
      <w:r>
        <w:rPr>
          <w:rFonts w:ascii="宋体" w:hAnsi="宋体" w:cs="宋体" w:hint="eastAsia"/>
          <w:b/>
          <w:kern w:val="0"/>
          <w:sz w:val="44"/>
          <w:szCs w:val="44"/>
        </w:rPr>
        <w:t>绩效预算工作开展情况说明</w:t>
      </w:r>
    </w:p>
    <w:p>
      <w:pPr>
        <w:ind w:firstLine="640" w:firstLineChars="200"/>
        <w:rPr>
          <w:rFonts w:ascii="方正仿宋_GBK" w:eastAsia="方正仿宋_GBK" w:hAnsi="仿宋"/>
          <w:color w:val="000000"/>
          <w:kern w:val="0"/>
          <w:sz w:val="32"/>
          <w:szCs w:val="32"/>
        </w:rPr>
      </w:pPr>
      <w:r>
        <w:rPr>
          <w:rFonts w:ascii="方正仿宋_GBK" w:eastAsia="方正仿宋_GBK" w:hAnsi="仿宋" w:hint="eastAsia"/>
          <w:color w:val="000000"/>
          <w:kern w:val="0"/>
          <w:sz w:val="32"/>
          <w:szCs w:val="32"/>
        </w:rPr>
        <w:t>按照《河北省财政厅关于推进绩效预算改革全面规范市县预算管理的实施意见》、《河北省绩效预算管理示范县建设方案》等文件要求，宽城县制定了</w:t>
      </w:r>
      <w:r>
        <w:rPr>
          <w:rFonts w:ascii="方正仿宋_GBK" w:eastAsia="方正仿宋_GBK" w:hint="eastAsia"/>
          <w:sz w:val="32"/>
          <w:szCs w:val="32"/>
        </w:rPr>
        <w:t>先后出台《中共宽城满族自治县委、县政府关于全面实施预算绩效管理的实施意见》、《宽城满族自治县财政局全面实施预算绩效管理推进工作方案》、《宽城满族自治县部门预算绩效管理办法》、《宽城满族自治县县级部门事前绩效评估规范》、《宽城满族自治县县级部门预算绩效运行监控工作规程》、《宽城满族自治县财政局转发&lt;河北省省级预算部门绩效目标指标设定规范&gt;》、《宽城满族自治县财政扶贫资金动态监控工作规程》等一系列制度，为建立科学、规范、高效的财政资金使用和管理体系提供了制度保障。</w:t>
      </w:r>
      <w:r>
        <w:rPr>
          <w:rFonts w:ascii="方正仿宋_GBK" w:eastAsia="方正仿宋_GBK" w:hAnsi="仿宋" w:hint="eastAsia"/>
          <w:color w:val="000000"/>
          <w:kern w:val="0"/>
          <w:sz w:val="32"/>
          <w:szCs w:val="32"/>
        </w:rPr>
        <w:t>严格按改革方案逐项推进，在对上年度对农村电子商务示范项目、革命老区转移支付资金、农村综合改革一事一议等大多数专项项目进行绩效评价的基础上，充分利用绩效评价结果。</w:t>
      </w:r>
    </w:p>
    <w:p>
      <w:pPr>
        <w:ind w:firstLine="640" w:firstLineChars="200"/>
        <w:rPr>
          <w:rFonts w:ascii="方正仿宋_GBK" w:eastAsia="方正仿宋_GBK"/>
          <w:sz w:val="32"/>
          <w:szCs w:val="32"/>
        </w:rPr>
      </w:pPr>
      <w:r>
        <w:rPr>
          <w:rFonts w:ascii="方正仿宋_GBK" w:eastAsia="方正仿宋_GBK" w:hint="eastAsia"/>
          <w:sz w:val="32"/>
          <w:szCs w:val="32"/>
        </w:rPr>
        <w:t>2021年我局将全县83个预算部门全部纳入绩效目标管理。预算单位依据《河北省省级预算部门绩效目标指标设定规范》要求，科学、合理地测算资金需求，填写项目预算绩效目标申报表，经主管部门审核、财政业务主管股室审核、财政预算股审核后，编入预算单位项目绩效目标指标表。据统计，纳入绩效目标管理的项目480个（含上级专款项目、政府性基金项目），金额12.4万元。2022年预算编制项目正在申报时阶段，待项目审定后将聘请有关专家、人大代表对预算单位所申报的项目绩效目标指标进行审核并出具审核意见，并将项目审核结果报送县人大常委会审核。</w:t>
      </w:r>
    </w:p>
    <w:p>
      <w:pPr>
        <w:ind w:firstLine="640" w:firstLineChars="200"/>
        <w:rPr>
          <w:rFonts w:ascii="方正仿宋_GBK" w:eastAsia="方正仿宋_GBK"/>
          <w:sz w:val="32"/>
          <w:szCs w:val="32"/>
        </w:rPr>
      </w:pPr>
      <w:r>
        <w:rPr>
          <w:rFonts w:ascii="方正仿宋_GBK" w:eastAsia="方正仿宋_GBK" w:hAnsi="仿宋" w:hint="eastAsia"/>
          <w:color w:val="000000"/>
          <w:kern w:val="0"/>
          <w:sz w:val="32"/>
          <w:szCs w:val="32"/>
        </w:rPr>
        <w:t>编制2022年预算时，对资金使用绩效不高的项目给予适当压减，对使用绩效较好的项目，在考虑实际需要的情况下，给予最大限度的预算保障。认真编好2022年专项项目的绩效预算目标和指标，重点开展大气污染防治、革命老区转移支付资金、农村综合改革一事一议、农业保险保费补贴、城市基础设施等民生工程项目的绩效评价，确保各类专项资金达到预期的使用绩效。</w:t>
      </w: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r>
        <w:rPr>
          <w:rFonts w:ascii="宋体" w:hAnsi="宋体" w:cs="宋体" w:hint="eastAsia"/>
          <w:b/>
          <w:kern w:val="0"/>
          <w:sz w:val="44"/>
          <w:szCs w:val="44"/>
        </w:rPr>
        <w:t>重大政策和重点项目等绩效目标</w:t>
      </w:r>
    </w:p>
    <w:p>
      <w:pPr>
        <w:ind w:firstLine="560"/>
        <w:outlineLvl w:val="3"/>
      </w:pPr>
      <w:bookmarkStart w:id="1" w:name="_Toc_4_4_0000000004"/>
      <w:r>
        <w:rPr>
          <w:rFonts w:ascii="方正仿宋_GBK" w:eastAsia="方正仿宋_GBK" w:hAnsi="方正仿宋_GBK" w:cs="方正仿宋_GBK"/>
          <w:color w:val="000000"/>
          <w:sz w:val="28"/>
        </w:rPr>
        <w:t>1.2022年城乡居民医保村级代办员补助资金绩效目标表</w:t>
      </w:r>
      <w:bookmarkEnd w:id="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362001宽城满族自治县医疗保障局本级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13082722P005472100012</w:t>
            </w:r>
          </w:p>
        </w:tc>
        <w:tc>
          <w:tcPr>
            <w:tcW w:w="1587" w:type="dxa"/>
            <w:vAlign w:val="center"/>
          </w:tcPr>
          <w:p>
            <w:pPr>
              <w:pStyle w:val="1"/>
            </w:pPr>
            <w:r>
              <w:t>项目名称</w:t>
            </w:r>
          </w:p>
        </w:tc>
        <w:tc>
          <w:tcPr>
            <w:tcW w:w="4422" w:type="dxa"/>
            <w:gridSpan w:val="3"/>
            <w:vAlign w:val="center"/>
          </w:tcPr>
          <w:p>
            <w:pPr>
              <w:pStyle w:val="2"/>
            </w:pPr>
            <w:r>
              <w:t>2022年城乡居民医保村级代办员补助资金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4.00</w:t>
            </w:r>
          </w:p>
        </w:tc>
        <w:tc>
          <w:tcPr>
            <w:tcW w:w="1587" w:type="dxa"/>
            <w:vAlign w:val="center"/>
          </w:tcPr>
          <w:p>
            <w:pPr>
              <w:pStyle w:val="1"/>
            </w:pPr>
            <w:r>
              <w:t>其中：财政    资金</w:t>
            </w:r>
          </w:p>
        </w:tc>
        <w:tc>
          <w:tcPr>
            <w:tcW w:w="1304" w:type="dxa"/>
            <w:vAlign w:val="center"/>
          </w:tcPr>
          <w:p>
            <w:pPr>
              <w:pStyle w:val="2"/>
            </w:pPr>
            <w:r>
              <w:t>4.00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城乡居民医保村级代办员补助资金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25%</w:t>
            </w:r>
          </w:p>
        </w:tc>
        <w:tc>
          <w:tcPr>
            <w:tcW w:w="1304" w:type="dxa"/>
            <w:vAlign w:val="center"/>
          </w:tcPr>
          <w:p>
            <w:pPr>
              <w:pStyle w:val="3"/>
            </w:pPr>
            <w:r>
              <w:t>25%</w:t>
            </w:r>
          </w:p>
        </w:tc>
        <w:tc>
          <w:tcPr>
            <w:tcW w:w="3118" w:type="dxa"/>
            <w:gridSpan w:val="2"/>
            <w:vAlign w:val="center"/>
          </w:tcPr>
          <w:p>
            <w:pPr>
              <w:pStyle w:val="3"/>
            </w:pPr>
            <w:r>
              <w:t>25%</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1.目标内容1</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召开医保工作市级新闻发布会、政策吹风会次数</w:t>
            </w:r>
          </w:p>
        </w:tc>
        <w:tc>
          <w:tcPr>
            <w:tcW w:w="2891" w:type="dxa"/>
            <w:vAlign w:val="center"/>
          </w:tcPr>
          <w:p>
            <w:pPr>
              <w:pStyle w:val="2"/>
            </w:pPr>
            <w:r>
              <w:t>召开医保工作市级新闻发布会、政策吹风会次数</w:t>
            </w:r>
          </w:p>
        </w:tc>
        <w:tc>
          <w:tcPr>
            <w:tcW w:w="1276" w:type="dxa"/>
            <w:vAlign w:val="center"/>
          </w:tcPr>
          <w:p>
            <w:pPr>
              <w:pStyle w:val="2"/>
            </w:pPr>
            <w:r>
              <w:t>≥22次</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召开医保工作政府信息公开市级工作会议或培训</w:t>
            </w:r>
          </w:p>
        </w:tc>
        <w:tc>
          <w:tcPr>
            <w:tcW w:w="2891" w:type="dxa"/>
            <w:vAlign w:val="center"/>
          </w:tcPr>
          <w:p>
            <w:pPr>
              <w:pStyle w:val="2"/>
            </w:pPr>
            <w:r>
              <w:t>召开医保工作政府信息公开市级工作会议或培训</w:t>
            </w:r>
          </w:p>
        </w:tc>
        <w:tc>
          <w:tcPr>
            <w:tcW w:w="1276" w:type="dxa"/>
            <w:vAlign w:val="center"/>
          </w:tcPr>
          <w:p>
            <w:pPr>
              <w:pStyle w:val="2"/>
            </w:pPr>
            <w:r>
              <w:t>≥22次</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医保信息系统验收合格率</w:t>
            </w:r>
          </w:p>
        </w:tc>
        <w:tc>
          <w:tcPr>
            <w:tcW w:w="2891" w:type="dxa"/>
            <w:vAlign w:val="center"/>
          </w:tcPr>
          <w:p>
            <w:pPr>
              <w:pStyle w:val="2"/>
            </w:pPr>
            <w:r>
              <w:t>医保信息系统验收合格率</w:t>
            </w:r>
          </w:p>
        </w:tc>
        <w:tc>
          <w:tcPr>
            <w:tcW w:w="1276" w:type="dxa"/>
            <w:vAlign w:val="center"/>
          </w:tcPr>
          <w:p>
            <w:pPr>
              <w:pStyle w:val="2"/>
            </w:pPr>
            <w:r>
              <w:t>≥90.9</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医保信息系统正常运行率</w:t>
            </w:r>
          </w:p>
        </w:tc>
        <w:tc>
          <w:tcPr>
            <w:tcW w:w="2891" w:type="dxa"/>
            <w:vAlign w:val="center"/>
          </w:tcPr>
          <w:p>
            <w:pPr>
              <w:pStyle w:val="2"/>
            </w:pPr>
            <w:r>
              <w:t>医保信息系统正常运行率</w:t>
            </w:r>
          </w:p>
        </w:tc>
        <w:tc>
          <w:tcPr>
            <w:tcW w:w="1276" w:type="dxa"/>
            <w:vAlign w:val="center"/>
          </w:tcPr>
          <w:p>
            <w:pPr>
              <w:pStyle w:val="2"/>
            </w:pPr>
            <w:r>
              <w:t>≥90.9</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医保信息系统重大安全事件响应时间</w:t>
            </w:r>
          </w:p>
        </w:tc>
        <w:tc>
          <w:tcPr>
            <w:tcW w:w="2891" w:type="dxa"/>
            <w:vAlign w:val="center"/>
          </w:tcPr>
          <w:p>
            <w:pPr>
              <w:pStyle w:val="2"/>
            </w:pPr>
            <w:r>
              <w:t>医保信息系统重大安全事件响应时间</w:t>
            </w:r>
          </w:p>
        </w:tc>
        <w:tc>
          <w:tcPr>
            <w:tcW w:w="1276" w:type="dxa"/>
            <w:vAlign w:val="center"/>
          </w:tcPr>
          <w:p>
            <w:pPr>
              <w:pStyle w:val="2"/>
            </w:pPr>
            <w:r>
              <w:t>≤6060分钟</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定点医疗机构监督检查覆盖率</w:t>
            </w:r>
          </w:p>
        </w:tc>
        <w:tc>
          <w:tcPr>
            <w:tcW w:w="2891" w:type="dxa"/>
            <w:vAlign w:val="center"/>
          </w:tcPr>
          <w:p>
            <w:pPr>
              <w:pStyle w:val="2"/>
            </w:pPr>
            <w:r>
              <w:t>定点医疗机构监督检查覆盖率</w:t>
            </w:r>
          </w:p>
        </w:tc>
        <w:tc>
          <w:tcPr>
            <w:tcW w:w="1276" w:type="dxa"/>
            <w:vAlign w:val="center"/>
          </w:tcPr>
          <w:p>
            <w:pPr>
              <w:pStyle w:val="2"/>
            </w:pPr>
            <w:r>
              <w:t>1001</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医保人才培训合格率</w:t>
            </w:r>
          </w:p>
        </w:tc>
        <w:tc>
          <w:tcPr>
            <w:tcW w:w="2891" w:type="dxa"/>
            <w:vAlign w:val="center"/>
          </w:tcPr>
          <w:p>
            <w:pPr>
              <w:pStyle w:val="2"/>
            </w:pPr>
            <w:r>
              <w:t>医保人才培训合格率</w:t>
            </w:r>
          </w:p>
        </w:tc>
        <w:tc>
          <w:tcPr>
            <w:tcW w:w="1276" w:type="dxa"/>
            <w:vAlign w:val="center"/>
          </w:tcPr>
          <w:p>
            <w:pPr>
              <w:pStyle w:val="2"/>
            </w:pPr>
            <w:r>
              <w:t>≥90.9</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推行医保支付方式改革和DRG</w:t>
            </w:r>
          </w:p>
        </w:tc>
        <w:tc>
          <w:tcPr>
            <w:tcW w:w="2891" w:type="dxa"/>
            <w:vAlign w:val="center"/>
          </w:tcPr>
          <w:p>
            <w:pPr>
              <w:pStyle w:val="2"/>
            </w:pPr>
            <w:r>
              <w:t>推行医保支付方式改革和DRG</w:t>
            </w:r>
          </w:p>
        </w:tc>
        <w:tc>
          <w:tcPr>
            <w:tcW w:w="1276" w:type="dxa"/>
            <w:vAlign w:val="center"/>
          </w:tcPr>
          <w:p>
            <w:pPr>
              <w:pStyle w:val="2"/>
            </w:pPr>
            <w:r>
              <w:t>不晚于12月底</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DRGy运行时间</w:t>
            </w:r>
          </w:p>
        </w:tc>
        <w:tc>
          <w:tcPr>
            <w:tcW w:w="2891" w:type="dxa"/>
            <w:vAlign w:val="center"/>
          </w:tcPr>
          <w:p>
            <w:pPr>
              <w:pStyle w:val="2"/>
            </w:pPr>
            <w:r>
              <w:t>DRGy运行时间</w:t>
            </w:r>
          </w:p>
        </w:tc>
        <w:tc>
          <w:tcPr>
            <w:tcW w:w="1276" w:type="dxa"/>
            <w:vAlign w:val="center"/>
          </w:tcPr>
          <w:p>
            <w:pPr>
              <w:pStyle w:val="2"/>
            </w:pPr>
            <w:r>
              <w:t>不晚于12月底</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电子医疗凭证运行时间</w:t>
            </w:r>
          </w:p>
        </w:tc>
        <w:tc>
          <w:tcPr>
            <w:tcW w:w="2891" w:type="dxa"/>
            <w:vAlign w:val="center"/>
          </w:tcPr>
          <w:p>
            <w:pPr>
              <w:pStyle w:val="2"/>
            </w:pPr>
            <w:r>
              <w:t>电子医疗凭证运行时间</w:t>
            </w:r>
          </w:p>
        </w:tc>
        <w:tc>
          <w:tcPr>
            <w:tcW w:w="1276" w:type="dxa"/>
            <w:vAlign w:val="center"/>
          </w:tcPr>
          <w:p>
            <w:pPr>
              <w:pStyle w:val="2"/>
            </w:pPr>
            <w:r>
              <w:t>不晚于12月底</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医保重要政策知晓率</w:t>
            </w:r>
          </w:p>
        </w:tc>
        <w:tc>
          <w:tcPr>
            <w:tcW w:w="2891" w:type="dxa"/>
            <w:vAlign w:val="center"/>
          </w:tcPr>
          <w:p>
            <w:pPr>
              <w:pStyle w:val="2"/>
            </w:pPr>
            <w:r>
              <w:t>医保重要政策知晓率</w:t>
            </w:r>
          </w:p>
        </w:tc>
        <w:tc>
          <w:tcPr>
            <w:tcW w:w="1276" w:type="dxa"/>
            <w:vAlign w:val="center"/>
          </w:tcPr>
          <w:p>
            <w:pPr>
              <w:pStyle w:val="2"/>
            </w:pPr>
            <w:r>
              <w:t>&gt;90.9</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跨省异地就医直接结算率</w:t>
            </w:r>
          </w:p>
        </w:tc>
        <w:tc>
          <w:tcPr>
            <w:tcW w:w="2891" w:type="dxa"/>
            <w:vAlign w:val="center"/>
          </w:tcPr>
          <w:p>
            <w:pPr>
              <w:pStyle w:val="2"/>
            </w:pPr>
            <w:r>
              <w:t>跨省异地就医直接结算率</w:t>
            </w:r>
          </w:p>
        </w:tc>
        <w:tc>
          <w:tcPr>
            <w:tcW w:w="1276" w:type="dxa"/>
            <w:vAlign w:val="center"/>
          </w:tcPr>
          <w:p>
            <w:pPr>
              <w:pStyle w:val="2"/>
            </w:pPr>
            <w:r>
              <w:t>≥90.9</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异地就医网上备案率</w:t>
            </w:r>
          </w:p>
        </w:tc>
        <w:tc>
          <w:tcPr>
            <w:tcW w:w="2891" w:type="dxa"/>
            <w:vAlign w:val="center"/>
          </w:tcPr>
          <w:p>
            <w:pPr>
              <w:pStyle w:val="2"/>
            </w:pPr>
            <w:r>
              <w:t>异地就医网上备案率</w:t>
            </w:r>
          </w:p>
        </w:tc>
        <w:tc>
          <w:tcPr>
            <w:tcW w:w="1276" w:type="dxa"/>
            <w:vAlign w:val="center"/>
          </w:tcPr>
          <w:p>
            <w:pPr>
              <w:pStyle w:val="2"/>
            </w:pPr>
            <w:r>
              <w:t>≥90.9</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参保人员对医保服务的满意度</w:t>
            </w:r>
          </w:p>
        </w:tc>
        <w:tc>
          <w:tcPr>
            <w:tcW w:w="2891" w:type="dxa"/>
            <w:vAlign w:val="center"/>
          </w:tcPr>
          <w:p>
            <w:pPr>
              <w:pStyle w:val="2"/>
            </w:pPr>
            <w:r>
              <w:t>参保人员对医保服务的满意度</w:t>
            </w:r>
          </w:p>
        </w:tc>
        <w:tc>
          <w:tcPr>
            <w:tcW w:w="1276" w:type="dxa"/>
            <w:vAlign w:val="center"/>
          </w:tcPr>
          <w:p>
            <w:pPr>
              <w:pStyle w:val="2"/>
            </w:pPr>
            <w:r>
              <w:t>≥90.9</w:t>
            </w:r>
          </w:p>
        </w:tc>
        <w:tc>
          <w:tcPr>
            <w:tcW w:w="1843" w:type="dxa"/>
            <w:vAlign w:val="center"/>
          </w:tcPr>
          <w:p>
            <w:pPr>
              <w:pStyle w:val="2"/>
            </w:pPr>
            <w:r>
              <w:t>冀财社（2021）164号</w:t>
            </w:r>
          </w:p>
        </w:tc>
      </w:tr>
    </w:tbl>
    <w:p>
      <w:pPr>
        <w:sectPr>
          <w:pgSz w:w="11900" w:h="16840"/>
          <w:pgMar w:top="1984" w:right="1304" w:bottom="1134" w:left="1304" w:header="720" w:footer="720" w:gutter="0"/>
          <w:cols w:num="1" w:space="720"/>
        </w:sectPr>
      </w:pPr>
    </w:p>
    <w:p>
      <w:pPr>
        <w:jc w:val="center"/>
      </w:pPr>
    </w:p>
    <w:p>
      <w:pPr>
        <w:ind w:firstLine="560"/>
        <w:outlineLvl w:val="3"/>
      </w:pPr>
      <w:bookmarkStart w:id="2" w:name="_Toc_4_4_0000000005"/>
      <w:r>
        <w:rPr>
          <w:rFonts w:ascii="方正仿宋_GBK" w:eastAsia="方正仿宋_GBK" w:hAnsi="方正仿宋_GBK" w:cs="方正仿宋_GBK"/>
          <w:color w:val="000000"/>
          <w:sz w:val="28"/>
        </w:rPr>
        <w:t>2.2022年医疗服务能力与保障能力提升补助资金绩效目标表</w:t>
      </w:r>
      <w:bookmarkEnd w:id="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362001宽城满族自治县医疗保障局本级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13082722P00547310001P</w:t>
            </w:r>
          </w:p>
        </w:tc>
        <w:tc>
          <w:tcPr>
            <w:tcW w:w="1587" w:type="dxa"/>
            <w:vAlign w:val="center"/>
          </w:tcPr>
          <w:p>
            <w:pPr>
              <w:pStyle w:val="1"/>
            </w:pPr>
            <w:r>
              <w:t>项目名称</w:t>
            </w:r>
          </w:p>
        </w:tc>
        <w:tc>
          <w:tcPr>
            <w:tcW w:w="4422" w:type="dxa"/>
            <w:gridSpan w:val="3"/>
            <w:vAlign w:val="center"/>
          </w:tcPr>
          <w:p>
            <w:pPr>
              <w:pStyle w:val="2"/>
            </w:pPr>
            <w:r>
              <w:t>2022年医疗服务能力与保障能力提升补助资金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9.00</w:t>
            </w:r>
          </w:p>
        </w:tc>
        <w:tc>
          <w:tcPr>
            <w:tcW w:w="1587" w:type="dxa"/>
            <w:vAlign w:val="center"/>
          </w:tcPr>
          <w:p>
            <w:pPr>
              <w:pStyle w:val="1"/>
            </w:pPr>
            <w:r>
              <w:t>其中：财政    资金</w:t>
            </w:r>
          </w:p>
        </w:tc>
        <w:tc>
          <w:tcPr>
            <w:tcW w:w="1304" w:type="dxa"/>
            <w:vAlign w:val="center"/>
          </w:tcPr>
          <w:p>
            <w:pPr>
              <w:pStyle w:val="2"/>
            </w:pPr>
            <w:r>
              <w:t>9.00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医疗服务能力和保障能力提升补助资金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25%</w:t>
            </w:r>
          </w:p>
        </w:tc>
        <w:tc>
          <w:tcPr>
            <w:tcW w:w="1304" w:type="dxa"/>
            <w:vAlign w:val="center"/>
          </w:tcPr>
          <w:p>
            <w:pPr>
              <w:pStyle w:val="3"/>
            </w:pPr>
            <w:r>
              <w:t>25%</w:t>
            </w:r>
          </w:p>
        </w:tc>
        <w:tc>
          <w:tcPr>
            <w:tcW w:w="3118" w:type="dxa"/>
            <w:gridSpan w:val="2"/>
            <w:vAlign w:val="center"/>
          </w:tcPr>
          <w:p>
            <w:pPr>
              <w:pStyle w:val="3"/>
            </w:pPr>
            <w:r>
              <w:t>25%</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1.目标内容1</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召开医保工作市级新闻发布会、政策吹风会次数</w:t>
            </w:r>
          </w:p>
        </w:tc>
        <w:tc>
          <w:tcPr>
            <w:tcW w:w="2891" w:type="dxa"/>
            <w:vAlign w:val="center"/>
          </w:tcPr>
          <w:p>
            <w:pPr>
              <w:pStyle w:val="2"/>
            </w:pPr>
            <w:r>
              <w:t>召开医保工作市级新闻发布会、政策吹风会次数</w:t>
            </w:r>
          </w:p>
        </w:tc>
        <w:tc>
          <w:tcPr>
            <w:tcW w:w="1276" w:type="dxa"/>
            <w:vAlign w:val="center"/>
          </w:tcPr>
          <w:p>
            <w:pPr>
              <w:pStyle w:val="2"/>
            </w:pPr>
            <w:r>
              <w:t>≥22次</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召开医保工作政府信息公开市级工作会议或培训</w:t>
            </w:r>
          </w:p>
        </w:tc>
        <w:tc>
          <w:tcPr>
            <w:tcW w:w="2891" w:type="dxa"/>
            <w:vAlign w:val="center"/>
          </w:tcPr>
          <w:p>
            <w:pPr>
              <w:pStyle w:val="2"/>
            </w:pPr>
            <w:r>
              <w:t>召开医保工作政府信息公开市级工作会议或培训</w:t>
            </w:r>
          </w:p>
        </w:tc>
        <w:tc>
          <w:tcPr>
            <w:tcW w:w="1276" w:type="dxa"/>
            <w:vAlign w:val="center"/>
          </w:tcPr>
          <w:p>
            <w:pPr>
              <w:pStyle w:val="2"/>
            </w:pPr>
            <w:r>
              <w:t>≥22次</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医保信息系统验收合格率</w:t>
            </w:r>
          </w:p>
        </w:tc>
        <w:tc>
          <w:tcPr>
            <w:tcW w:w="2891" w:type="dxa"/>
            <w:vAlign w:val="center"/>
          </w:tcPr>
          <w:p>
            <w:pPr>
              <w:pStyle w:val="2"/>
            </w:pPr>
            <w:r>
              <w:t>医保信息系统验收合格率</w:t>
            </w:r>
          </w:p>
        </w:tc>
        <w:tc>
          <w:tcPr>
            <w:tcW w:w="1276" w:type="dxa"/>
            <w:vAlign w:val="center"/>
          </w:tcPr>
          <w:p>
            <w:pPr>
              <w:pStyle w:val="2"/>
            </w:pPr>
            <w:r>
              <w:t>≥90.9</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医保信息系统正常运行率</w:t>
            </w:r>
          </w:p>
        </w:tc>
        <w:tc>
          <w:tcPr>
            <w:tcW w:w="2891" w:type="dxa"/>
            <w:vAlign w:val="center"/>
          </w:tcPr>
          <w:p>
            <w:pPr>
              <w:pStyle w:val="2"/>
            </w:pPr>
            <w:r>
              <w:t>医保信息系统正常运行率</w:t>
            </w:r>
          </w:p>
        </w:tc>
        <w:tc>
          <w:tcPr>
            <w:tcW w:w="1276" w:type="dxa"/>
            <w:vAlign w:val="center"/>
          </w:tcPr>
          <w:p>
            <w:pPr>
              <w:pStyle w:val="2"/>
            </w:pPr>
            <w:r>
              <w:t>≥90.9</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医保信息系统重大安全事件响应时间</w:t>
            </w:r>
          </w:p>
        </w:tc>
        <w:tc>
          <w:tcPr>
            <w:tcW w:w="2891" w:type="dxa"/>
            <w:vAlign w:val="center"/>
          </w:tcPr>
          <w:p>
            <w:pPr>
              <w:pStyle w:val="2"/>
            </w:pPr>
            <w:r>
              <w:t>医保信息系统重大安全事件响应时间</w:t>
            </w:r>
          </w:p>
        </w:tc>
        <w:tc>
          <w:tcPr>
            <w:tcW w:w="1276" w:type="dxa"/>
            <w:vAlign w:val="center"/>
          </w:tcPr>
          <w:p>
            <w:pPr>
              <w:pStyle w:val="2"/>
            </w:pPr>
            <w:r>
              <w:t>≤6060分钟</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定点医疗机构监督检查覆盖率</w:t>
            </w:r>
          </w:p>
        </w:tc>
        <w:tc>
          <w:tcPr>
            <w:tcW w:w="2891" w:type="dxa"/>
            <w:vAlign w:val="center"/>
          </w:tcPr>
          <w:p>
            <w:pPr>
              <w:pStyle w:val="2"/>
            </w:pPr>
            <w:r>
              <w:t>定点医疗机构监督检查覆盖率</w:t>
            </w:r>
          </w:p>
        </w:tc>
        <w:tc>
          <w:tcPr>
            <w:tcW w:w="1276" w:type="dxa"/>
            <w:vAlign w:val="center"/>
          </w:tcPr>
          <w:p>
            <w:pPr>
              <w:pStyle w:val="2"/>
            </w:pPr>
            <w:r>
              <w:t>1001</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医保人才培训合格率</w:t>
            </w:r>
          </w:p>
        </w:tc>
        <w:tc>
          <w:tcPr>
            <w:tcW w:w="2891" w:type="dxa"/>
            <w:vAlign w:val="center"/>
          </w:tcPr>
          <w:p>
            <w:pPr>
              <w:pStyle w:val="2"/>
            </w:pPr>
            <w:r>
              <w:t>医保人才培训合格率</w:t>
            </w:r>
          </w:p>
        </w:tc>
        <w:tc>
          <w:tcPr>
            <w:tcW w:w="1276" w:type="dxa"/>
            <w:vAlign w:val="center"/>
          </w:tcPr>
          <w:p>
            <w:pPr>
              <w:pStyle w:val="2"/>
            </w:pPr>
            <w:r>
              <w:t>≥90.9</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推行医保支付方式改革和DRG</w:t>
            </w:r>
          </w:p>
        </w:tc>
        <w:tc>
          <w:tcPr>
            <w:tcW w:w="2891" w:type="dxa"/>
            <w:vAlign w:val="center"/>
          </w:tcPr>
          <w:p>
            <w:pPr>
              <w:pStyle w:val="2"/>
            </w:pPr>
            <w:r>
              <w:t>推行医保支付方式改革和DRG</w:t>
            </w:r>
          </w:p>
        </w:tc>
        <w:tc>
          <w:tcPr>
            <w:tcW w:w="1276" w:type="dxa"/>
            <w:vAlign w:val="center"/>
          </w:tcPr>
          <w:p>
            <w:pPr>
              <w:pStyle w:val="2"/>
            </w:pPr>
            <w:r>
              <w:t>不晚于12月底</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DRGy运行时间</w:t>
            </w:r>
          </w:p>
        </w:tc>
        <w:tc>
          <w:tcPr>
            <w:tcW w:w="2891" w:type="dxa"/>
            <w:vAlign w:val="center"/>
          </w:tcPr>
          <w:p>
            <w:pPr>
              <w:pStyle w:val="2"/>
            </w:pPr>
            <w:r>
              <w:t>DRGy运行时间</w:t>
            </w:r>
          </w:p>
        </w:tc>
        <w:tc>
          <w:tcPr>
            <w:tcW w:w="1276" w:type="dxa"/>
            <w:vAlign w:val="center"/>
          </w:tcPr>
          <w:p>
            <w:pPr>
              <w:pStyle w:val="2"/>
            </w:pPr>
            <w:r>
              <w:t>不晚于12月底</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电子医疗凭证运行时间</w:t>
            </w:r>
          </w:p>
        </w:tc>
        <w:tc>
          <w:tcPr>
            <w:tcW w:w="2891" w:type="dxa"/>
            <w:vAlign w:val="center"/>
          </w:tcPr>
          <w:p>
            <w:pPr>
              <w:pStyle w:val="2"/>
            </w:pPr>
            <w:r>
              <w:t>电子医疗凭证运行时间</w:t>
            </w:r>
          </w:p>
        </w:tc>
        <w:tc>
          <w:tcPr>
            <w:tcW w:w="1276" w:type="dxa"/>
            <w:vAlign w:val="center"/>
          </w:tcPr>
          <w:p>
            <w:pPr>
              <w:pStyle w:val="2"/>
            </w:pPr>
            <w:r>
              <w:t>不晚于12月底</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医保重要政策知晓率</w:t>
            </w:r>
          </w:p>
        </w:tc>
        <w:tc>
          <w:tcPr>
            <w:tcW w:w="2891" w:type="dxa"/>
            <w:vAlign w:val="center"/>
          </w:tcPr>
          <w:p>
            <w:pPr>
              <w:pStyle w:val="2"/>
            </w:pPr>
            <w:r>
              <w:t>医保重要政策知晓率</w:t>
            </w:r>
          </w:p>
        </w:tc>
        <w:tc>
          <w:tcPr>
            <w:tcW w:w="1276" w:type="dxa"/>
            <w:vAlign w:val="center"/>
          </w:tcPr>
          <w:p>
            <w:pPr>
              <w:pStyle w:val="2"/>
            </w:pPr>
            <w:r>
              <w:t>&gt;90.9</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跨省异地就医直接结算率</w:t>
            </w:r>
          </w:p>
        </w:tc>
        <w:tc>
          <w:tcPr>
            <w:tcW w:w="2891" w:type="dxa"/>
            <w:vAlign w:val="center"/>
          </w:tcPr>
          <w:p>
            <w:pPr>
              <w:pStyle w:val="2"/>
            </w:pPr>
            <w:r>
              <w:t>跨省异地就医直接结算率</w:t>
            </w:r>
          </w:p>
        </w:tc>
        <w:tc>
          <w:tcPr>
            <w:tcW w:w="1276" w:type="dxa"/>
            <w:vAlign w:val="center"/>
          </w:tcPr>
          <w:p>
            <w:pPr>
              <w:pStyle w:val="2"/>
            </w:pPr>
            <w:r>
              <w:t>≥90.9</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异地就医网上备案率</w:t>
            </w:r>
          </w:p>
        </w:tc>
        <w:tc>
          <w:tcPr>
            <w:tcW w:w="2891" w:type="dxa"/>
            <w:vAlign w:val="center"/>
          </w:tcPr>
          <w:p>
            <w:pPr>
              <w:pStyle w:val="2"/>
            </w:pPr>
            <w:r>
              <w:t>异地就医网上备案率</w:t>
            </w:r>
          </w:p>
        </w:tc>
        <w:tc>
          <w:tcPr>
            <w:tcW w:w="1276" w:type="dxa"/>
            <w:vAlign w:val="center"/>
          </w:tcPr>
          <w:p>
            <w:pPr>
              <w:pStyle w:val="2"/>
            </w:pPr>
            <w:r>
              <w:t>≥90.9</w:t>
            </w:r>
          </w:p>
        </w:tc>
        <w:tc>
          <w:tcPr>
            <w:tcW w:w="1843" w:type="dxa"/>
            <w:vAlign w:val="center"/>
          </w:tcPr>
          <w:p>
            <w:pPr>
              <w:pStyle w:val="2"/>
            </w:pPr>
            <w:r>
              <w:t>冀财社（2021）164号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参保人员对医保服务的满意度</w:t>
            </w:r>
          </w:p>
        </w:tc>
        <w:tc>
          <w:tcPr>
            <w:tcW w:w="2891" w:type="dxa"/>
            <w:vAlign w:val="center"/>
          </w:tcPr>
          <w:p>
            <w:pPr>
              <w:pStyle w:val="2"/>
            </w:pPr>
            <w:r>
              <w:t>参保人员对医保服务的满意度</w:t>
            </w:r>
          </w:p>
        </w:tc>
        <w:tc>
          <w:tcPr>
            <w:tcW w:w="1276" w:type="dxa"/>
            <w:vAlign w:val="center"/>
          </w:tcPr>
          <w:p>
            <w:pPr>
              <w:pStyle w:val="2"/>
            </w:pPr>
            <w:r>
              <w:t>≥90.9</w:t>
            </w:r>
          </w:p>
        </w:tc>
        <w:tc>
          <w:tcPr>
            <w:tcW w:w="1843" w:type="dxa"/>
            <w:vAlign w:val="center"/>
          </w:tcPr>
          <w:p>
            <w:pPr>
              <w:pStyle w:val="2"/>
            </w:pPr>
            <w:r>
              <w:t>冀财社（2021）164号</w:t>
            </w:r>
          </w:p>
        </w:tc>
      </w:tr>
    </w:tbl>
    <w:p>
      <w:pPr>
        <w:sectPr>
          <w:pgSz w:w="11900" w:h="16840"/>
          <w:pgMar w:top="1984" w:right="1304" w:bottom="1134" w:left="1304" w:header="720" w:footer="720" w:gutter="0"/>
          <w:cols w:num="1" w:space="720"/>
        </w:sectPr>
      </w:pPr>
    </w:p>
    <w:p>
      <w:pPr>
        <w:jc w:val="center"/>
      </w:pPr>
    </w:p>
    <w:p>
      <w:pPr>
        <w:outlineLvl w:val="3"/>
      </w:pPr>
      <w:bookmarkStart w:id="3" w:name="_Toc_4_4_0000000006"/>
      <w:r>
        <w:rPr>
          <w:rFonts w:ascii="方正仿宋_GBK" w:eastAsia="方正仿宋_GBK" w:hAnsi="方正仿宋_GBK" w:cs="方正仿宋_GBK"/>
          <w:color w:val="000000"/>
          <w:sz w:val="28"/>
        </w:rPr>
        <w:t>3.城乡居民医疗保障县级配套资金绩效目标表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362001宽城满族自治县医疗保障局本级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13082722P00X8EQ100022</w:t>
            </w:r>
          </w:p>
        </w:tc>
        <w:tc>
          <w:tcPr>
            <w:tcW w:w="1587" w:type="dxa"/>
            <w:vAlign w:val="center"/>
          </w:tcPr>
          <w:p>
            <w:pPr>
              <w:pStyle w:val="1"/>
            </w:pPr>
            <w:r>
              <w:t>项目名称</w:t>
            </w:r>
          </w:p>
        </w:tc>
        <w:tc>
          <w:tcPr>
            <w:tcW w:w="4422" w:type="dxa"/>
            <w:gridSpan w:val="3"/>
            <w:vAlign w:val="center"/>
          </w:tcPr>
          <w:p>
            <w:pPr>
              <w:pStyle w:val="2"/>
            </w:pPr>
            <w:r>
              <w:t>城乡居民医疗保障县级配套资金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2536.00</w:t>
            </w:r>
          </w:p>
        </w:tc>
        <w:tc>
          <w:tcPr>
            <w:tcW w:w="1587" w:type="dxa"/>
            <w:vAlign w:val="center"/>
          </w:tcPr>
          <w:p>
            <w:pPr>
              <w:pStyle w:val="1"/>
            </w:pPr>
            <w:r>
              <w:t>其中：财政    资金</w:t>
            </w:r>
          </w:p>
        </w:tc>
        <w:tc>
          <w:tcPr>
            <w:tcW w:w="1304" w:type="dxa"/>
            <w:vAlign w:val="center"/>
          </w:tcPr>
          <w:p>
            <w:pPr>
              <w:pStyle w:val="2"/>
            </w:pPr>
            <w:r>
              <w:t>2536.00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城乡居民医疗保险缴费县级配套资金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25%</w:t>
            </w:r>
          </w:p>
        </w:tc>
        <w:tc>
          <w:tcPr>
            <w:tcW w:w="1304" w:type="dxa"/>
            <w:vAlign w:val="center"/>
          </w:tcPr>
          <w:p>
            <w:pPr>
              <w:pStyle w:val="3"/>
            </w:pPr>
            <w:r>
              <w:t>25%</w:t>
            </w:r>
          </w:p>
        </w:tc>
        <w:tc>
          <w:tcPr>
            <w:tcW w:w="3118" w:type="dxa"/>
            <w:gridSpan w:val="2"/>
            <w:vAlign w:val="center"/>
          </w:tcPr>
          <w:p>
            <w:pPr>
              <w:pStyle w:val="3"/>
            </w:pPr>
            <w:r>
              <w:t>25%</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1.落实贫困群众医疗救助</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门诊救助人次数</w:t>
            </w:r>
          </w:p>
        </w:tc>
        <w:tc>
          <w:tcPr>
            <w:tcW w:w="2891" w:type="dxa"/>
            <w:vAlign w:val="center"/>
          </w:tcPr>
          <w:p>
            <w:pPr>
              <w:pStyle w:val="2"/>
            </w:pPr>
            <w:r>
              <w:t>门诊救助人次数</w:t>
            </w:r>
          </w:p>
        </w:tc>
        <w:tc>
          <w:tcPr>
            <w:tcW w:w="1276" w:type="dxa"/>
            <w:vAlign w:val="center"/>
          </w:tcPr>
          <w:p>
            <w:pPr>
              <w:pStyle w:val="2"/>
            </w:pPr>
            <w:r>
              <w:t>≥200000</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住院救助人次数</w:t>
            </w:r>
          </w:p>
        </w:tc>
        <w:tc>
          <w:tcPr>
            <w:tcW w:w="2891" w:type="dxa"/>
            <w:vAlign w:val="center"/>
          </w:tcPr>
          <w:p>
            <w:pPr>
              <w:pStyle w:val="2"/>
            </w:pPr>
            <w:r>
              <w:t>住院救助人次数</w:t>
            </w:r>
          </w:p>
        </w:tc>
        <w:tc>
          <w:tcPr>
            <w:tcW w:w="1276" w:type="dxa"/>
            <w:vAlign w:val="center"/>
          </w:tcPr>
          <w:p>
            <w:pPr>
              <w:pStyle w:val="2"/>
            </w:pPr>
            <w:r>
              <w:t>≥27000</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资助参保人次数</w:t>
            </w:r>
          </w:p>
        </w:tc>
        <w:tc>
          <w:tcPr>
            <w:tcW w:w="2891" w:type="dxa"/>
            <w:vAlign w:val="center"/>
          </w:tcPr>
          <w:p>
            <w:pPr>
              <w:pStyle w:val="2"/>
            </w:pPr>
            <w:r>
              <w:t>资助参保人次数</w:t>
            </w:r>
          </w:p>
        </w:tc>
        <w:tc>
          <w:tcPr>
            <w:tcW w:w="1276" w:type="dxa"/>
            <w:vAlign w:val="center"/>
          </w:tcPr>
          <w:p>
            <w:pPr>
              <w:pStyle w:val="2"/>
            </w:pPr>
            <w:r>
              <w:t>≥27000</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门诊医疗费用救助比例</w:t>
            </w:r>
          </w:p>
        </w:tc>
        <w:tc>
          <w:tcPr>
            <w:tcW w:w="2891" w:type="dxa"/>
            <w:vAlign w:val="center"/>
          </w:tcPr>
          <w:p>
            <w:pPr>
              <w:pStyle w:val="2"/>
            </w:pPr>
            <w:r>
              <w:t>门诊医疗费用救助比例</w:t>
            </w:r>
          </w:p>
        </w:tc>
        <w:tc>
          <w:tcPr>
            <w:tcW w:w="1276" w:type="dxa"/>
            <w:vAlign w:val="center"/>
          </w:tcPr>
          <w:p>
            <w:pPr>
              <w:pStyle w:val="2"/>
            </w:pPr>
            <w:r>
              <w:t>≥50</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住院医疗费用救助比例</w:t>
            </w:r>
          </w:p>
        </w:tc>
        <w:tc>
          <w:tcPr>
            <w:tcW w:w="2891" w:type="dxa"/>
            <w:vAlign w:val="center"/>
          </w:tcPr>
          <w:p>
            <w:pPr>
              <w:pStyle w:val="2"/>
            </w:pPr>
            <w:r>
              <w:t>住院医疗费用救助比例</w:t>
            </w:r>
          </w:p>
        </w:tc>
        <w:tc>
          <w:tcPr>
            <w:tcW w:w="1276" w:type="dxa"/>
            <w:vAlign w:val="center"/>
          </w:tcPr>
          <w:p>
            <w:pPr>
              <w:pStyle w:val="2"/>
            </w:pPr>
            <w:r>
              <w:t>≥60</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一站式即时结算覆盖地区</w:t>
            </w:r>
          </w:p>
        </w:tc>
        <w:tc>
          <w:tcPr>
            <w:tcW w:w="2891" w:type="dxa"/>
            <w:vAlign w:val="center"/>
          </w:tcPr>
          <w:p>
            <w:pPr>
              <w:pStyle w:val="2"/>
            </w:pPr>
            <w:r>
              <w:t>一站式即时结算覆盖地区</w:t>
            </w:r>
          </w:p>
        </w:tc>
        <w:tc>
          <w:tcPr>
            <w:tcW w:w="1276" w:type="dxa"/>
            <w:vAlign w:val="center"/>
          </w:tcPr>
          <w:p>
            <w:pPr>
              <w:pStyle w:val="2"/>
            </w:pPr>
            <w:r>
              <w:t>一站式即时结算覆盖地区</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医疗救助对象覆盖范围</w:t>
            </w:r>
          </w:p>
        </w:tc>
        <w:tc>
          <w:tcPr>
            <w:tcW w:w="2891" w:type="dxa"/>
            <w:vAlign w:val="center"/>
          </w:tcPr>
          <w:p>
            <w:pPr>
              <w:pStyle w:val="2"/>
            </w:pPr>
            <w:r>
              <w:t>医疗救助对象覆盖范围</w:t>
            </w:r>
          </w:p>
        </w:tc>
        <w:tc>
          <w:tcPr>
            <w:tcW w:w="1276" w:type="dxa"/>
            <w:vAlign w:val="center"/>
          </w:tcPr>
          <w:p>
            <w:pPr>
              <w:pStyle w:val="2"/>
            </w:pPr>
            <w:r>
              <w:t>明显提高</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困难群众看病就医方便程序</w:t>
            </w:r>
          </w:p>
        </w:tc>
        <w:tc>
          <w:tcPr>
            <w:tcW w:w="2891" w:type="dxa"/>
            <w:vAlign w:val="center"/>
          </w:tcPr>
          <w:p>
            <w:pPr>
              <w:pStyle w:val="2"/>
            </w:pPr>
            <w:r>
              <w:t>困难群众看病就医方便程序</w:t>
            </w:r>
          </w:p>
        </w:tc>
        <w:tc>
          <w:tcPr>
            <w:tcW w:w="1276" w:type="dxa"/>
            <w:vAlign w:val="center"/>
          </w:tcPr>
          <w:p>
            <w:pPr>
              <w:pStyle w:val="2"/>
            </w:pPr>
            <w:r>
              <w:t>有效缓解</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困难群众医疗费用负担减轻程度</w:t>
            </w:r>
          </w:p>
        </w:tc>
        <w:tc>
          <w:tcPr>
            <w:tcW w:w="2891" w:type="dxa"/>
            <w:vAlign w:val="center"/>
          </w:tcPr>
          <w:p>
            <w:pPr>
              <w:pStyle w:val="2"/>
            </w:pPr>
            <w:r>
              <w:t>困难群众医疗费用负担减轻程度</w:t>
            </w:r>
          </w:p>
        </w:tc>
        <w:tc>
          <w:tcPr>
            <w:tcW w:w="1276" w:type="dxa"/>
            <w:vAlign w:val="center"/>
          </w:tcPr>
          <w:p>
            <w:pPr>
              <w:pStyle w:val="2"/>
            </w:pPr>
            <w:r>
              <w:t>成效明显</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对健全社会救助体系的影响</w:t>
            </w:r>
          </w:p>
        </w:tc>
        <w:tc>
          <w:tcPr>
            <w:tcW w:w="2891" w:type="dxa"/>
            <w:vAlign w:val="center"/>
          </w:tcPr>
          <w:p>
            <w:pPr>
              <w:pStyle w:val="2"/>
            </w:pPr>
            <w:r>
              <w:t>对健全社会救助体系的影响</w:t>
            </w:r>
          </w:p>
        </w:tc>
        <w:tc>
          <w:tcPr>
            <w:tcW w:w="1276" w:type="dxa"/>
            <w:vAlign w:val="center"/>
          </w:tcPr>
          <w:p>
            <w:pPr>
              <w:pStyle w:val="2"/>
            </w:pPr>
            <w:r>
              <w:t>成效明显</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对健全医疗保障制度体系的作用</w:t>
            </w:r>
          </w:p>
        </w:tc>
        <w:tc>
          <w:tcPr>
            <w:tcW w:w="2891" w:type="dxa"/>
            <w:vAlign w:val="center"/>
          </w:tcPr>
          <w:p>
            <w:pPr>
              <w:pStyle w:val="2"/>
            </w:pPr>
            <w:r>
              <w:t>对健全医疗保障制度体系的作用</w:t>
            </w:r>
          </w:p>
        </w:tc>
        <w:tc>
          <w:tcPr>
            <w:tcW w:w="1276" w:type="dxa"/>
            <w:vAlign w:val="center"/>
          </w:tcPr>
          <w:p>
            <w:pPr>
              <w:pStyle w:val="2"/>
            </w:pPr>
            <w:r>
              <w:t>成效明显</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政策知晓率</w:t>
            </w:r>
          </w:p>
        </w:tc>
        <w:tc>
          <w:tcPr>
            <w:tcW w:w="2891" w:type="dxa"/>
            <w:vAlign w:val="center"/>
          </w:tcPr>
          <w:p>
            <w:pPr>
              <w:pStyle w:val="2"/>
            </w:pPr>
            <w:r>
              <w:t>政策知晓率</w:t>
            </w:r>
          </w:p>
        </w:tc>
        <w:tc>
          <w:tcPr>
            <w:tcW w:w="1276" w:type="dxa"/>
            <w:vAlign w:val="center"/>
          </w:tcPr>
          <w:p>
            <w:pPr>
              <w:pStyle w:val="2"/>
            </w:pPr>
            <w:r>
              <w:t>≥95</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服务对象满意度指标</w:t>
            </w:r>
          </w:p>
        </w:tc>
        <w:tc>
          <w:tcPr>
            <w:tcW w:w="1332" w:type="dxa"/>
            <w:vAlign w:val="center"/>
          </w:tcPr>
          <w:p>
            <w:pPr>
              <w:pStyle w:val="2"/>
            </w:pPr>
            <w:r>
              <w:t>工作满意度</w:t>
            </w:r>
          </w:p>
        </w:tc>
        <w:tc>
          <w:tcPr>
            <w:tcW w:w="2891" w:type="dxa"/>
            <w:vAlign w:val="center"/>
          </w:tcPr>
          <w:p>
            <w:pPr>
              <w:pStyle w:val="2"/>
            </w:pPr>
            <w:r>
              <w:t>工作满意度</w:t>
            </w:r>
          </w:p>
        </w:tc>
        <w:tc>
          <w:tcPr>
            <w:tcW w:w="1276" w:type="dxa"/>
            <w:vAlign w:val="center"/>
          </w:tcPr>
          <w:p>
            <w:pPr>
              <w:pStyle w:val="2"/>
            </w:pPr>
            <w:r>
              <w:t>≥95</w:t>
            </w:r>
          </w:p>
        </w:tc>
        <w:tc>
          <w:tcPr>
            <w:tcW w:w="1843" w:type="dxa"/>
            <w:vAlign w:val="center"/>
          </w:tcPr>
          <w:p>
            <w:pPr>
              <w:pStyle w:val="2"/>
            </w:pPr>
            <w:r>
              <w:t>冀财社（2021）159号</w:t>
            </w:r>
          </w:p>
        </w:tc>
      </w:tr>
    </w:tbl>
    <w:p>
      <w:pPr>
        <w:sectPr>
          <w:pgSz w:w="11900" w:h="16840"/>
          <w:pgMar w:top="1984" w:right="1304" w:bottom="1134" w:left="1304" w:header="720" w:footer="720" w:gutter="0"/>
          <w:cols w:num="1" w:space="720"/>
        </w:sectPr>
      </w:pPr>
    </w:p>
    <w:p>
      <w:pPr>
        <w:jc w:val="center"/>
      </w:pPr>
    </w:p>
    <w:p>
      <w:pPr>
        <w:ind w:firstLine="560"/>
        <w:outlineLvl w:val="3"/>
      </w:pPr>
      <w:bookmarkStart w:id="4" w:name="_Toc_4_4_0000000007"/>
      <w:r>
        <w:rPr>
          <w:rFonts w:ascii="方正仿宋_GBK" w:eastAsia="方正仿宋_GBK" w:hAnsi="方正仿宋_GBK" w:cs="方正仿宋_GBK"/>
          <w:color w:val="000000"/>
          <w:sz w:val="28"/>
        </w:rPr>
        <w:t>4.城乡医疗救助县级配套资金绩效目标表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362001宽城满族自治县医疗保障局本级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13082722P000DBE10002F</w:t>
            </w:r>
          </w:p>
        </w:tc>
        <w:tc>
          <w:tcPr>
            <w:tcW w:w="1587" w:type="dxa"/>
            <w:vAlign w:val="center"/>
          </w:tcPr>
          <w:p>
            <w:pPr>
              <w:pStyle w:val="1"/>
            </w:pPr>
            <w:r>
              <w:t>项目名称</w:t>
            </w:r>
          </w:p>
        </w:tc>
        <w:tc>
          <w:tcPr>
            <w:tcW w:w="4422" w:type="dxa"/>
            <w:gridSpan w:val="3"/>
            <w:vAlign w:val="center"/>
          </w:tcPr>
          <w:p>
            <w:pPr>
              <w:pStyle w:val="2"/>
            </w:pPr>
            <w:r>
              <w:t>城乡医疗救助县级配套资金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153.00</w:t>
            </w:r>
          </w:p>
        </w:tc>
        <w:tc>
          <w:tcPr>
            <w:tcW w:w="1587" w:type="dxa"/>
            <w:vAlign w:val="center"/>
          </w:tcPr>
          <w:p>
            <w:pPr>
              <w:pStyle w:val="1"/>
            </w:pPr>
            <w:r>
              <w:t>其中：财政    资金</w:t>
            </w:r>
          </w:p>
        </w:tc>
        <w:tc>
          <w:tcPr>
            <w:tcW w:w="1304" w:type="dxa"/>
            <w:vAlign w:val="center"/>
          </w:tcPr>
          <w:p>
            <w:pPr>
              <w:pStyle w:val="2"/>
            </w:pPr>
            <w:r>
              <w:t>153.00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城乡医疗救助县级配套资金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25%</w:t>
            </w:r>
          </w:p>
        </w:tc>
        <w:tc>
          <w:tcPr>
            <w:tcW w:w="1304" w:type="dxa"/>
            <w:vAlign w:val="center"/>
          </w:tcPr>
          <w:p>
            <w:pPr>
              <w:pStyle w:val="3"/>
            </w:pPr>
            <w:r>
              <w:t>25%</w:t>
            </w:r>
          </w:p>
        </w:tc>
        <w:tc>
          <w:tcPr>
            <w:tcW w:w="3118" w:type="dxa"/>
            <w:gridSpan w:val="2"/>
            <w:vAlign w:val="center"/>
          </w:tcPr>
          <w:p>
            <w:pPr>
              <w:pStyle w:val="3"/>
            </w:pPr>
            <w:r>
              <w:t>25%</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1.落实贫困群众医疗救助</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门诊救助人次数</w:t>
            </w:r>
          </w:p>
        </w:tc>
        <w:tc>
          <w:tcPr>
            <w:tcW w:w="2891" w:type="dxa"/>
            <w:vAlign w:val="center"/>
          </w:tcPr>
          <w:p>
            <w:pPr>
              <w:pStyle w:val="2"/>
            </w:pPr>
            <w:r>
              <w:t>门诊救助人次数</w:t>
            </w:r>
          </w:p>
        </w:tc>
        <w:tc>
          <w:tcPr>
            <w:tcW w:w="1276" w:type="dxa"/>
            <w:vAlign w:val="center"/>
          </w:tcPr>
          <w:p>
            <w:pPr>
              <w:pStyle w:val="2"/>
            </w:pPr>
            <w:r>
              <w:t>≥200000</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住院救助人次数</w:t>
            </w:r>
          </w:p>
        </w:tc>
        <w:tc>
          <w:tcPr>
            <w:tcW w:w="2891" w:type="dxa"/>
            <w:vAlign w:val="center"/>
          </w:tcPr>
          <w:p>
            <w:pPr>
              <w:pStyle w:val="2"/>
            </w:pPr>
            <w:r>
              <w:t>住院救助人次数</w:t>
            </w:r>
          </w:p>
        </w:tc>
        <w:tc>
          <w:tcPr>
            <w:tcW w:w="1276" w:type="dxa"/>
            <w:vAlign w:val="center"/>
          </w:tcPr>
          <w:p>
            <w:pPr>
              <w:pStyle w:val="2"/>
            </w:pPr>
            <w:r>
              <w:t>≥27000</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资助参保人次数</w:t>
            </w:r>
          </w:p>
        </w:tc>
        <w:tc>
          <w:tcPr>
            <w:tcW w:w="2891" w:type="dxa"/>
            <w:vAlign w:val="center"/>
          </w:tcPr>
          <w:p>
            <w:pPr>
              <w:pStyle w:val="2"/>
            </w:pPr>
            <w:r>
              <w:t>资助参保人次数</w:t>
            </w:r>
          </w:p>
        </w:tc>
        <w:tc>
          <w:tcPr>
            <w:tcW w:w="1276" w:type="dxa"/>
            <w:vAlign w:val="center"/>
          </w:tcPr>
          <w:p>
            <w:pPr>
              <w:pStyle w:val="2"/>
            </w:pPr>
            <w:r>
              <w:t>≥27000</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门诊医疗费用救助比例</w:t>
            </w:r>
          </w:p>
        </w:tc>
        <w:tc>
          <w:tcPr>
            <w:tcW w:w="2891" w:type="dxa"/>
            <w:vAlign w:val="center"/>
          </w:tcPr>
          <w:p>
            <w:pPr>
              <w:pStyle w:val="2"/>
            </w:pPr>
            <w:r>
              <w:t>门诊医疗费用救助比例</w:t>
            </w:r>
          </w:p>
        </w:tc>
        <w:tc>
          <w:tcPr>
            <w:tcW w:w="1276" w:type="dxa"/>
            <w:vAlign w:val="center"/>
          </w:tcPr>
          <w:p>
            <w:pPr>
              <w:pStyle w:val="2"/>
            </w:pPr>
            <w:r>
              <w:t>≥50</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住院医疗费用救助比例</w:t>
            </w:r>
          </w:p>
        </w:tc>
        <w:tc>
          <w:tcPr>
            <w:tcW w:w="2891" w:type="dxa"/>
            <w:vAlign w:val="center"/>
          </w:tcPr>
          <w:p>
            <w:pPr>
              <w:pStyle w:val="2"/>
            </w:pPr>
            <w:r>
              <w:t>住院医疗费用救助比例</w:t>
            </w:r>
          </w:p>
        </w:tc>
        <w:tc>
          <w:tcPr>
            <w:tcW w:w="1276" w:type="dxa"/>
            <w:vAlign w:val="center"/>
          </w:tcPr>
          <w:p>
            <w:pPr>
              <w:pStyle w:val="2"/>
            </w:pPr>
            <w:r>
              <w:t>≥60</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一站式即时结算覆盖地区</w:t>
            </w:r>
          </w:p>
        </w:tc>
        <w:tc>
          <w:tcPr>
            <w:tcW w:w="2891" w:type="dxa"/>
            <w:vAlign w:val="center"/>
          </w:tcPr>
          <w:p>
            <w:pPr>
              <w:pStyle w:val="2"/>
            </w:pPr>
            <w:r>
              <w:t>一站式即时结算覆盖地区</w:t>
            </w:r>
          </w:p>
        </w:tc>
        <w:tc>
          <w:tcPr>
            <w:tcW w:w="1276" w:type="dxa"/>
            <w:vAlign w:val="center"/>
          </w:tcPr>
          <w:p>
            <w:pPr>
              <w:pStyle w:val="2"/>
            </w:pPr>
            <w:r>
              <w:t>一站式即时结算覆盖地区</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医疗救助对象覆盖范围</w:t>
            </w:r>
          </w:p>
        </w:tc>
        <w:tc>
          <w:tcPr>
            <w:tcW w:w="2891" w:type="dxa"/>
            <w:vAlign w:val="center"/>
          </w:tcPr>
          <w:p>
            <w:pPr>
              <w:pStyle w:val="2"/>
            </w:pPr>
            <w:r>
              <w:t>医疗救助对象覆盖范围</w:t>
            </w:r>
          </w:p>
        </w:tc>
        <w:tc>
          <w:tcPr>
            <w:tcW w:w="1276" w:type="dxa"/>
            <w:vAlign w:val="center"/>
          </w:tcPr>
          <w:p>
            <w:pPr>
              <w:pStyle w:val="2"/>
            </w:pPr>
            <w:r>
              <w:t>明显提高</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困难群众看病就医方便程序</w:t>
            </w:r>
          </w:p>
        </w:tc>
        <w:tc>
          <w:tcPr>
            <w:tcW w:w="2891" w:type="dxa"/>
            <w:vAlign w:val="center"/>
          </w:tcPr>
          <w:p>
            <w:pPr>
              <w:pStyle w:val="2"/>
            </w:pPr>
            <w:r>
              <w:t>困难群众看病就医方便程序</w:t>
            </w:r>
          </w:p>
        </w:tc>
        <w:tc>
          <w:tcPr>
            <w:tcW w:w="1276" w:type="dxa"/>
            <w:vAlign w:val="center"/>
          </w:tcPr>
          <w:p>
            <w:pPr>
              <w:pStyle w:val="2"/>
            </w:pPr>
            <w:r>
              <w:t>有效缓解</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困难群众医疗费用负担减轻程度</w:t>
            </w:r>
          </w:p>
        </w:tc>
        <w:tc>
          <w:tcPr>
            <w:tcW w:w="2891" w:type="dxa"/>
            <w:vAlign w:val="center"/>
          </w:tcPr>
          <w:p>
            <w:pPr>
              <w:pStyle w:val="2"/>
            </w:pPr>
            <w:r>
              <w:t>困难群众医疗费用负担减轻程度</w:t>
            </w:r>
          </w:p>
        </w:tc>
        <w:tc>
          <w:tcPr>
            <w:tcW w:w="1276" w:type="dxa"/>
            <w:vAlign w:val="center"/>
          </w:tcPr>
          <w:p>
            <w:pPr>
              <w:pStyle w:val="2"/>
            </w:pPr>
            <w:r>
              <w:t>成效明显</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对健全社会救助体系的影响</w:t>
            </w:r>
          </w:p>
        </w:tc>
        <w:tc>
          <w:tcPr>
            <w:tcW w:w="2891" w:type="dxa"/>
            <w:vAlign w:val="center"/>
          </w:tcPr>
          <w:p>
            <w:pPr>
              <w:pStyle w:val="2"/>
            </w:pPr>
            <w:r>
              <w:t>对健全社会救助体系的影响</w:t>
            </w:r>
          </w:p>
        </w:tc>
        <w:tc>
          <w:tcPr>
            <w:tcW w:w="1276" w:type="dxa"/>
            <w:vAlign w:val="center"/>
          </w:tcPr>
          <w:p>
            <w:pPr>
              <w:pStyle w:val="2"/>
            </w:pPr>
            <w:r>
              <w:t>成效明显</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对健全医疗保障制度体系的作用</w:t>
            </w:r>
          </w:p>
        </w:tc>
        <w:tc>
          <w:tcPr>
            <w:tcW w:w="2891" w:type="dxa"/>
            <w:vAlign w:val="center"/>
          </w:tcPr>
          <w:p>
            <w:pPr>
              <w:pStyle w:val="2"/>
            </w:pPr>
            <w:r>
              <w:t>对健全医疗保障制度体系的作用</w:t>
            </w:r>
          </w:p>
        </w:tc>
        <w:tc>
          <w:tcPr>
            <w:tcW w:w="1276" w:type="dxa"/>
            <w:vAlign w:val="center"/>
          </w:tcPr>
          <w:p>
            <w:pPr>
              <w:pStyle w:val="2"/>
            </w:pPr>
            <w:r>
              <w:t>成效明显</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政策知晓率</w:t>
            </w:r>
          </w:p>
        </w:tc>
        <w:tc>
          <w:tcPr>
            <w:tcW w:w="2891" w:type="dxa"/>
            <w:vAlign w:val="center"/>
          </w:tcPr>
          <w:p>
            <w:pPr>
              <w:pStyle w:val="2"/>
            </w:pPr>
            <w:r>
              <w:t>政策知晓率</w:t>
            </w:r>
          </w:p>
        </w:tc>
        <w:tc>
          <w:tcPr>
            <w:tcW w:w="1276" w:type="dxa"/>
            <w:vAlign w:val="center"/>
          </w:tcPr>
          <w:p>
            <w:pPr>
              <w:pStyle w:val="2"/>
            </w:pPr>
            <w:r>
              <w:t>≥95</w:t>
            </w:r>
          </w:p>
        </w:tc>
        <w:tc>
          <w:tcPr>
            <w:tcW w:w="1843" w:type="dxa"/>
            <w:vAlign w:val="center"/>
          </w:tcPr>
          <w:p>
            <w:pPr>
              <w:pStyle w:val="2"/>
            </w:pPr>
            <w:r>
              <w:t>冀财社（2021）159号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服务对象满意度指标</w:t>
            </w:r>
          </w:p>
        </w:tc>
        <w:tc>
          <w:tcPr>
            <w:tcW w:w="1332" w:type="dxa"/>
            <w:vAlign w:val="center"/>
          </w:tcPr>
          <w:p>
            <w:pPr>
              <w:pStyle w:val="2"/>
            </w:pPr>
            <w:r>
              <w:t>工作满意度</w:t>
            </w:r>
          </w:p>
        </w:tc>
        <w:tc>
          <w:tcPr>
            <w:tcW w:w="2891" w:type="dxa"/>
            <w:vAlign w:val="center"/>
          </w:tcPr>
          <w:p>
            <w:pPr>
              <w:pStyle w:val="2"/>
            </w:pPr>
            <w:r>
              <w:t>工作满意度</w:t>
            </w:r>
          </w:p>
        </w:tc>
        <w:tc>
          <w:tcPr>
            <w:tcW w:w="1276" w:type="dxa"/>
            <w:vAlign w:val="center"/>
          </w:tcPr>
          <w:p>
            <w:pPr>
              <w:pStyle w:val="2"/>
            </w:pPr>
            <w:r>
              <w:t>≥95</w:t>
            </w:r>
          </w:p>
        </w:tc>
        <w:tc>
          <w:tcPr>
            <w:tcW w:w="1843" w:type="dxa"/>
            <w:vAlign w:val="center"/>
          </w:tcPr>
          <w:p>
            <w:pPr>
              <w:pStyle w:val="2"/>
            </w:pPr>
            <w:r>
              <w:t>冀财社（2021）159号</w:t>
            </w:r>
          </w:p>
        </w:tc>
      </w:tr>
    </w:tbl>
    <w:p>
      <w:pPr>
        <w:sectPr>
          <w:pgSz w:w="11900" w:h="16840"/>
          <w:pgMar w:top="1984" w:right="1304" w:bottom="1134" w:left="1304" w:header="720" w:footer="720" w:gutter="0"/>
          <w:cols w:num="1" w:space="720"/>
        </w:sectPr>
      </w:pPr>
    </w:p>
    <w:p>
      <w:pPr>
        <w:ind w:firstLine="560"/>
        <w:outlineLvl w:val="3"/>
      </w:pPr>
      <w:bookmarkStart w:id="5" w:name="_Toc_4_4_0000000021"/>
      <w:r>
        <w:rPr>
          <w:rFonts w:ascii="方正仿宋_GBK" w:eastAsia="方正仿宋_GBK" w:hAnsi="方正仿宋_GBK" w:cs="方正仿宋_GBK" w:hint="eastAsia"/>
          <w:color w:val="000000"/>
          <w:sz w:val="28"/>
        </w:rPr>
        <w:t>5</w:t>
      </w:r>
      <w:r>
        <w:rPr>
          <w:rFonts w:ascii="方正仿宋_GBK" w:eastAsia="方正仿宋_GBK" w:hAnsi="方正仿宋_GBK" w:cs="方正仿宋_GBK"/>
          <w:color w:val="000000"/>
          <w:sz w:val="28"/>
        </w:rPr>
        <w:t>.2022年省级就业补助资金绩效目标表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323004宽城满族自治县就业服务局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13082722P00521310002G</w:t>
            </w:r>
          </w:p>
        </w:tc>
        <w:tc>
          <w:tcPr>
            <w:tcW w:w="1587" w:type="dxa"/>
            <w:vAlign w:val="center"/>
          </w:tcPr>
          <w:p>
            <w:pPr>
              <w:pStyle w:val="1"/>
            </w:pPr>
            <w:r>
              <w:t>项目名称</w:t>
            </w:r>
          </w:p>
        </w:tc>
        <w:tc>
          <w:tcPr>
            <w:tcW w:w="4422" w:type="dxa"/>
            <w:gridSpan w:val="3"/>
            <w:vAlign w:val="center"/>
          </w:tcPr>
          <w:p>
            <w:pPr>
              <w:pStyle w:val="2"/>
            </w:pPr>
            <w:r>
              <w:t>2022年省级就业补助资金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180.00</w:t>
            </w:r>
          </w:p>
        </w:tc>
        <w:tc>
          <w:tcPr>
            <w:tcW w:w="1587" w:type="dxa"/>
            <w:vAlign w:val="center"/>
          </w:tcPr>
          <w:p>
            <w:pPr>
              <w:pStyle w:val="1"/>
            </w:pPr>
            <w:r>
              <w:t>其中：财政    资金</w:t>
            </w:r>
          </w:p>
        </w:tc>
        <w:tc>
          <w:tcPr>
            <w:tcW w:w="1304" w:type="dxa"/>
            <w:vAlign w:val="center"/>
          </w:tcPr>
          <w:p>
            <w:pPr>
              <w:pStyle w:val="2"/>
            </w:pPr>
            <w:r>
              <w:t>180.00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用于社会保险补贴公益岗性岗位补贴，就业见习补贴，求职创业补贴，就业创业服务补贴及其他经省级人民政府批准的其他支出项目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1.目标内容1</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享受社会保险补贴人员数量</w:t>
            </w:r>
          </w:p>
        </w:tc>
        <w:tc>
          <w:tcPr>
            <w:tcW w:w="2891" w:type="dxa"/>
            <w:vAlign w:val="center"/>
          </w:tcPr>
          <w:p>
            <w:pPr>
              <w:pStyle w:val="2"/>
            </w:pPr>
            <w:r>
              <w:t>享受社会保险补贴人员数量</w:t>
            </w:r>
          </w:p>
        </w:tc>
        <w:tc>
          <w:tcPr>
            <w:tcW w:w="1276" w:type="dxa"/>
            <w:vAlign w:val="center"/>
          </w:tcPr>
          <w:p>
            <w:pPr>
              <w:pStyle w:val="2"/>
            </w:pPr>
            <w:r>
              <w:t>400人</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享受公益岗性岗位补贴人员数量</w:t>
            </w:r>
          </w:p>
        </w:tc>
        <w:tc>
          <w:tcPr>
            <w:tcW w:w="2891" w:type="dxa"/>
            <w:vAlign w:val="center"/>
          </w:tcPr>
          <w:p>
            <w:pPr>
              <w:pStyle w:val="2"/>
            </w:pPr>
            <w:r>
              <w:t>享受公益岗性岗位补贴人员数量</w:t>
            </w:r>
          </w:p>
        </w:tc>
        <w:tc>
          <w:tcPr>
            <w:tcW w:w="1276" w:type="dxa"/>
            <w:vAlign w:val="center"/>
          </w:tcPr>
          <w:p>
            <w:pPr>
              <w:pStyle w:val="2"/>
            </w:pPr>
            <w:r>
              <w:t>300人</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社会保险补贴发放准确率</w:t>
            </w:r>
          </w:p>
        </w:tc>
        <w:tc>
          <w:tcPr>
            <w:tcW w:w="2891" w:type="dxa"/>
            <w:vAlign w:val="center"/>
          </w:tcPr>
          <w:p>
            <w:pPr>
              <w:pStyle w:val="2"/>
            </w:pPr>
            <w:r>
              <w:t>社会保险补贴发放准确率</w:t>
            </w:r>
          </w:p>
        </w:tc>
        <w:tc>
          <w:tcPr>
            <w:tcW w:w="1276" w:type="dxa"/>
            <w:vAlign w:val="center"/>
          </w:tcPr>
          <w:p>
            <w:pPr>
              <w:pStyle w:val="2"/>
            </w:pPr>
            <w:r>
              <w:t>≥96%</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公益岗性岗位补贴发放准确率</w:t>
            </w:r>
          </w:p>
        </w:tc>
        <w:tc>
          <w:tcPr>
            <w:tcW w:w="2891" w:type="dxa"/>
            <w:vAlign w:val="center"/>
          </w:tcPr>
          <w:p>
            <w:pPr>
              <w:pStyle w:val="2"/>
            </w:pPr>
            <w:r>
              <w:t>公益岗性岗位补贴发放准确率</w:t>
            </w:r>
          </w:p>
        </w:tc>
        <w:tc>
          <w:tcPr>
            <w:tcW w:w="1276" w:type="dxa"/>
            <w:vAlign w:val="center"/>
          </w:tcPr>
          <w:p>
            <w:pPr>
              <w:pStyle w:val="2"/>
            </w:pPr>
            <w:r>
              <w:t>≥96%</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就业见习补贴发放准确率</w:t>
            </w:r>
          </w:p>
        </w:tc>
        <w:tc>
          <w:tcPr>
            <w:tcW w:w="2891" w:type="dxa"/>
            <w:vAlign w:val="center"/>
          </w:tcPr>
          <w:p>
            <w:pPr>
              <w:pStyle w:val="2"/>
            </w:pPr>
            <w:r>
              <w:t>就业见习补贴发放准确率</w:t>
            </w:r>
          </w:p>
        </w:tc>
        <w:tc>
          <w:tcPr>
            <w:tcW w:w="1276" w:type="dxa"/>
            <w:vAlign w:val="center"/>
          </w:tcPr>
          <w:p>
            <w:pPr>
              <w:pStyle w:val="2"/>
            </w:pPr>
            <w:r>
              <w:t>≥96%</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求职创业补贴发放准确率</w:t>
            </w:r>
          </w:p>
        </w:tc>
        <w:tc>
          <w:tcPr>
            <w:tcW w:w="2891" w:type="dxa"/>
            <w:vAlign w:val="center"/>
          </w:tcPr>
          <w:p>
            <w:pPr>
              <w:pStyle w:val="2"/>
            </w:pPr>
            <w:r>
              <w:t>求职创业补贴发放准确率</w:t>
            </w:r>
          </w:p>
        </w:tc>
        <w:tc>
          <w:tcPr>
            <w:tcW w:w="1276" w:type="dxa"/>
            <w:vAlign w:val="center"/>
          </w:tcPr>
          <w:p>
            <w:pPr>
              <w:pStyle w:val="2"/>
            </w:pPr>
            <w:r>
              <w:t>≥96%</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补贴资金在规定时间内支付到位率</w:t>
            </w:r>
          </w:p>
        </w:tc>
        <w:tc>
          <w:tcPr>
            <w:tcW w:w="2891" w:type="dxa"/>
            <w:vAlign w:val="center"/>
          </w:tcPr>
          <w:p>
            <w:pPr>
              <w:pStyle w:val="2"/>
            </w:pPr>
            <w:r>
              <w:t>补贴资金在规定时间内支付到位率</w:t>
            </w:r>
          </w:p>
        </w:tc>
        <w:tc>
          <w:tcPr>
            <w:tcW w:w="1276" w:type="dxa"/>
            <w:vAlign w:val="center"/>
          </w:tcPr>
          <w:p>
            <w:pPr>
              <w:pStyle w:val="2"/>
            </w:pPr>
            <w:r>
              <w:t>100%</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公益岗性岗位补贴人均标准</w:t>
            </w:r>
          </w:p>
        </w:tc>
        <w:tc>
          <w:tcPr>
            <w:tcW w:w="2891" w:type="dxa"/>
            <w:vAlign w:val="center"/>
          </w:tcPr>
          <w:p>
            <w:pPr>
              <w:pStyle w:val="2"/>
            </w:pPr>
            <w:r>
              <w:t>公益岗性岗位补贴人均标准</w:t>
            </w:r>
          </w:p>
        </w:tc>
        <w:tc>
          <w:tcPr>
            <w:tcW w:w="1276" w:type="dxa"/>
            <w:vAlign w:val="center"/>
          </w:tcPr>
          <w:p>
            <w:pPr>
              <w:pStyle w:val="2"/>
            </w:pPr>
            <w:r>
              <w:t>参照当地最低工资标准</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经济效益指标</w:t>
            </w:r>
          </w:p>
        </w:tc>
        <w:tc>
          <w:tcPr>
            <w:tcW w:w="1332" w:type="dxa"/>
            <w:vAlign w:val="center"/>
          </w:tcPr>
          <w:p>
            <w:pPr>
              <w:pStyle w:val="2"/>
            </w:pPr>
            <w:r>
              <w:t>城镇新增就业人数</w:t>
            </w:r>
          </w:p>
        </w:tc>
        <w:tc>
          <w:tcPr>
            <w:tcW w:w="2891" w:type="dxa"/>
            <w:vAlign w:val="center"/>
          </w:tcPr>
          <w:p>
            <w:pPr>
              <w:pStyle w:val="2"/>
            </w:pPr>
            <w:r>
              <w:t>城镇新增就业人数</w:t>
            </w:r>
          </w:p>
        </w:tc>
        <w:tc>
          <w:tcPr>
            <w:tcW w:w="1276" w:type="dxa"/>
            <w:vAlign w:val="center"/>
          </w:tcPr>
          <w:p>
            <w:pPr>
              <w:pStyle w:val="2"/>
            </w:pPr>
            <w:r>
              <w:t>4000人</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年末城镇登记失业率</w:t>
            </w:r>
          </w:p>
        </w:tc>
        <w:tc>
          <w:tcPr>
            <w:tcW w:w="2891" w:type="dxa"/>
            <w:vAlign w:val="center"/>
          </w:tcPr>
          <w:p>
            <w:pPr>
              <w:pStyle w:val="2"/>
            </w:pPr>
            <w:r>
              <w:t>年末城镇登记失业率</w:t>
            </w:r>
          </w:p>
        </w:tc>
        <w:tc>
          <w:tcPr>
            <w:tcW w:w="1276" w:type="dxa"/>
            <w:vAlign w:val="center"/>
          </w:tcPr>
          <w:p>
            <w:pPr>
              <w:pStyle w:val="2"/>
            </w:pPr>
            <w:r>
              <w:t>&lt;4.5%</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失业人员再就业人数</w:t>
            </w:r>
          </w:p>
        </w:tc>
        <w:tc>
          <w:tcPr>
            <w:tcW w:w="2891" w:type="dxa"/>
            <w:vAlign w:val="center"/>
          </w:tcPr>
          <w:p>
            <w:pPr>
              <w:pStyle w:val="2"/>
            </w:pPr>
            <w:r>
              <w:t>失业人员再就业人数</w:t>
            </w:r>
          </w:p>
        </w:tc>
        <w:tc>
          <w:tcPr>
            <w:tcW w:w="1276" w:type="dxa"/>
            <w:vAlign w:val="center"/>
          </w:tcPr>
          <w:p>
            <w:pPr>
              <w:pStyle w:val="2"/>
            </w:pPr>
            <w:r>
              <w:t>1150人</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就业困难人员就业人数</w:t>
            </w:r>
          </w:p>
        </w:tc>
        <w:tc>
          <w:tcPr>
            <w:tcW w:w="2891" w:type="dxa"/>
            <w:vAlign w:val="center"/>
          </w:tcPr>
          <w:p>
            <w:pPr>
              <w:pStyle w:val="2"/>
            </w:pPr>
            <w:r>
              <w:t>就业困难人员就业人数</w:t>
            </w:r>
          </w:p>
        </w:tc>
        <w:tc>
          <w:tcPr>
            <w:tcW w:w="1276" w:type="dxa"/>
            <w:vAlign w:val="center"/>
          </w:tcPr>
          <w:p>
            <w:pPr>
              <w:pStyle w:val="2"/>
            </w:pPr>
            <w:r>
              <w:t>600人</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公共就业服务满意度</w:t>
            </w:r>
          </w:p>
        </w:tc>
        <w:tc>
          <w:tcPr>
            <w:tcW w:w="2891" w:type="dxa"/>
            <w:vAlign w:val="center"/>
          </w:tcPr>
          <w:p>
            <w:pPr>
              <w:pStyle w:val="2"/>
            </w:pPr>
            <w:r>
              <w:t>公共就业服务满意度</w:t>
            </w:r>
          </w:p>
        </w:tc>
        <w:tc>
          <w:tcPr>
            <w:tcW w:w="1276" w:type="dxa"/>
            <w:vAlign w:val="center"/>
          </w:tcPr>
          <w:p>
            <w:pPr>
              <w:pStyle w:val="2"/>
            </w:pPr>
            <w:r>
              <w:t>≥90%</w:t>
            </w:r>
          </w:p>
        </w:tc>
        <w:tc>
          <w:tcPr>
            <w:tcW w:w="1843" w:type="dxa"/>
            <w:vAlign w:val="center"/>
          </w:tcPr>
          <w:p>
            <w:pPr>
              <w:pStyle w:val="2"/>
            </w:pPr>
          </w:p>
        </w:tc>
      </w:tr>
    </w:tbl>
    <w:p>
      <w:pPr>
        <w:sectPr>
          <w:pgSz w:w="11900" w:h="16840"/>
          <w:pgMar w:top="1984" w:right="1304" w:bottom="1134" w:left="1304" w:header="720" w:footer="720" w:gutter="0"/>
          <w:cols w:num="1" w:space="720"/>
        </w:sectPr>
      </w:pPr>
    </w:p>
    <w:p>
      <w:pPr>
        <w:jc w:val="center"/>
      </w:pPr>
    </w:p>
    <w:p>
      <w:pPr>
        <w:ind w:firstLine="560"/>
        <w:outlineLvl w:val="3"/>
      </w:pPr>
      <w:bookmarkStart w:id="6" w:name="_Toc_4_4_0000000022"/>
      <w:r>
        <w:rPr>
          <w:rFonts w:ascii="方正仿宋_GBK" w:eastAsia="方正仿宋_GBK" w:hAnsi="方正仿宋_GBK" w:cs="方正仿宋_GBK" w:hint="eastAsia"/>
          <w:color w:val="000000"/>
          <w:sz w:val="28"/>
        </w:rPr>
        <w:t>6</w:t>
      </w:r>
      <w:r>
        <w:rPr>
          <w:rFonts w:ascii="方正仿宋_GBK" w:eastAsia="方正仿宋_GBK" w:hAnsi="方正仿宋_GBK" w:cs="方正仿宋_GBK"/>
          <w:color w:val="000000"/>
          <w:sz w:val="28"/>
        </w:rPr>
        <w:t>.2022年省级就业补助资金（就业见习补贴）绩效目标表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323004宽城满族自治县就业服务局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13082722P005213100034</w:t>
            </w:r>
          </w:p>
        </w:tc>
        <w:tc>
          <w:tcPr>
            <w:tcW w:w="1587" w:type="dxa"/>
            <w:vAlign w:val="center"/>
          </w:tcPr>
          <w:p>
            <w:pPr>
              <w:pStyle w:val="1"/>
            </w:pPr>
            <w:r>
              <w:t>项目名称</w:t>
            </w:r>
          </w:p>
        </w:tc>
        <w:tc>
          <w:tcPr>
            <w:tcW w:w="4422" w:type="dxa"/>
            <w:gridSpan w:val="3"/>
            <w:vAlign w:val="center"/>
          </w:tcPr>
          <w:p>
            <w:pPr>
              <w:pStyle w:val="2"/>
            </w:pPr>
            <w:r>
              <w:t>2022年省级就业补助资金（就业见习补贴）</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600.00</w:t>
            </w:r>
          </w:p>
        </w:tc>
        <w:tc>
          <w:tcPr>
            <w:tcW w:w="1587" w:type="dxa"/>
            <w:vAlign w:val="center"/>
          </w:tcPr>
          <w:p>
            <w:pPr>
              <w:pStyle w:val="1"/>
            </w:pPr>
            <w:r>
              <w:t>其中：财政    资金</w:t>
            </w:r>
          </w:p>
        </w:tc>
        <w:tc>
          <w:tcPr>
            <w:tcW w:w="1304" w:type="dxa"/>
            <w:vAlign w:val="center"/>
          </w:tcPr>
          <w:p>
            <w:pPr>
              <w:pStyle w:val="2"/>
            </w:pPr>
            <w:r>
              <w:t>600.00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用于社会保险补贴公益岗性岗位补贴，就业见习补贴，求职创业补贴，就业创业服务补贴及其他经省级人民政府批准的其他支出项目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1.目标内容1</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享受社会保险补贴人员数量</w:t>
            </w:r>
          </w:p>
        </w:tc>
        <w:tc>
          <w:tcPr>
            <w:tcW w:w="2891" w:type="dxa"/>
            <w:vAlign w:val="center"/>
          </w:tcPr>
          <w:p>
            <w:pPr>
              <w:pStyle w:val="2"/>
            </w:pPr>
            <w:r>
              <w:t>享受社会保险补贴人员数量</w:t>
            </w:r>
          </w:p>
        </w:tc>
        <w:tc>
          <w:tcPr>
            <w:tcW w:w="1276" w:type="dxa"/>
            <w:vAlign w:val="center"/>
          </w:tcPr>
          <w:p>
            <w:pPr>
              <w:pStyle w:val="2"/>
            </w:pPr>
            <w:r>
              <w:t>400人</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享受公益岗性岗位补贴人员数量</w:t>
            </w:r>
          </w:p>
        </w:tc>
        <w:tc>
          <w:tcPr>
            <w:tcW w:w="2891" w:type="dxa"/>
            <w:vAlign w:val="center"/>
          </w:tcPr>
          <w:p>
            <w:pPr>
              <w:pStyle w:val="2"/>
            </w:pPr>
            <w:r>
              <w:t>享受公益岗性岗位补贴人员数量</w:t>
            </w:r>
          </w:p>
        </w:tc>
        <w:tc>
          <w:tcPr>
            <w:tcW w:w="1276" w:type="dxa"/>
            <w:vAlign w:val="center"/>
          </w:tcPr>
          <w:p>
            <w:pPr>
              <w:pStyle w:val="2"/>
            </w:pPr>
            <w:r>
              <w:t>300人</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社会保险补贴发放准确率</w:t>
            </w:r>
          </w:p>
        </w:tc>
        <w:tc>
          <w:tcPr>
            <w:tcW w:w="2891" w:type="dxa"/>
            <w:vAlign w:val="center"/>
          </w:tcPr>
          <w:p>
            <w:pPr>
              <w:pStyle w:val="2"/>
            </w:pPr>
            <w:r>
              <w:t>社会保险补贴发放准确率</w:t>
            </w:r>
          </w:p>
        </w:tc>
        <w:tc>
          <w:tcPr>
            <w:tcW w:w="1276" w:type="dxa"/>
            <w:vAlign w:val="center"/>
          </w:tcPr>
          <w:p>
            <w:pPr>
              <w:pStyle w:val="2"/>
            </w:pPr>
            <w:r>
              <w:t>≥96%</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公益岗性岗位补贴发放准确率</w:t>
            </w:r>
          </w:p>
        </w:tc>
        <w:tc>
          <w:tcPr>
            <w:tcW w:w="2891" w:type="dxa"/>
            <w:vAlign w:val="center"/>
          </w:tcPr>
          <w:p>
            <w:pPr>
              <w:pStyle w:val="2"/>
            </w:pPr>
            <w:r>
              <w:t>公益岗性岗位补贴发放准确率</w:t>
            </w:r>
          </w:p>
        </w:tc>
        <w:tc>
          <w:tcPr>
            <w:tcW w:w="1276" w:type="dxa"/>
            <w:vAlign w:val="center"/>
          </w:tcPr>
          <w:p>
            <w:pPr>
              <w:pStyle w:val="2"/>
            </w:pPr>
            <w:r>
              <w:t>≥96%</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就业见习补贴发放准确率</w:t>
            </w:r>
          </w:p>
        </w:tc>
        <w:tc>
          <w:tcPr>
            <w:tcW w:w="2891" w:type="dxa"/>
            <w:vAlign w:val="center"/>
          </w:tcPr>
          <w:p>
            <w:pPr>
              <w:pStyle w:val="2"/>
            </w:pPr>
            <w:r>
              <w:t>就业见习补贴发放准确率</w:t>
            </w:r>
          </w:p>
        </w:tc>
        <w:tc>
          <w:tcPr>
            <w:tcW w:w="1276" w:type="dxa"/>
            <w:vAlign w:val="center"/>
          </w:tcPr>
          <w:p>
            <w:pPr>
              <w:pStyle w:val="2"/>
            </w:pPr>
            <w:r>
              <w:t>≥96%</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求职创业补贴发放准确率</w:t>
            </w:r>
          </w:p>
        </w:tc>
        <w:tc>
          <w:tcPr>
            <w:tcW w:w="2891" w:type="dxa"/>
            <w:vAlign w:val="center"/>
          </w:tcPr>
          <w:p>
            <w:pPr>
              <w:pStyle w:val="2"/>
            </w:pPr>
            <w:r>
              <w:t>求职创业补贴发放准确率</w:t>
            </w:r>
          </w:p>
        </w:tc>
        <w:tc>
          <w:tcPr>
            <w:tcW w:w="1276" w:type="dxa"/>
            <w:vAlign w:val="center"/>
          </w:tcPr>
          <w:p>
            <w:pPr>
              <w:pStyle w:val="2"/>
            </w:pPr>
            <w:r>
              <w:t>≥96%</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补贴资金在规定时间内支付到位率</w:t>
            </w:r>
          </w:p>
        </w:tc>
        <w:tc>
          <w:tcPr>
            <w:tcW w:w="2891" w:type="dxa"/>
            <w:vAlign w:val="center"/>
          </w:tcPr>
          <w:p>
            <w:pPr>
              <w:pStyle w:val="2"/>
            </w:pPr>
            <w:r>
              <w:t>补贴资金在规定时间内支付到位率</w:t>
            </w:r>
          </w:p>
        </w:tc>
        <w:tc>
          <w:tcPr>
            <w:tcW w:w="1276" w:type="dxa"/>
            <w:vAlign w:val="center"/>
          </w:tcPr>
          <w:p>
            <w:pPr>
              <w:pStyle w:val="2"/>
            </w:pPr>
            <w:r>
              <w:t>≥100%</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公益岗性岗位补贴人均标准</w:t>
            </w:r>
          </w:p>
        </w:tc>
        <w:tc>
          <w:tcPr>
            <w:tcW w:w="2891" w:type="dxa"/>
            <w:vAlign w:val="center"/>
          </w:tcPr>
          <w:p>
            <w:pPr>
              <w:pStyle w:val="2"/>
            </w:pPr>
            <w:r>
              <w:t>公益岗性岗位补贴人均标准</w:t>
            </w:r>
          </w:p>
        </w:tc>
        <w:tc>
          <w:tcPr>
            <w:tcW w:w="1276" w:type="dxa"/>
            <w:vAlign w:val="center"/>
          </w:tcPr>
          <w:p>
            <w:pPr>
              <w:pStyle w:val="2"/>
            </w:pPr>
            <w:r>
              <w:t>参照当地最低工资标准</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经济效益指标</w:t>
            </w:r>
          </w:p>
        </w:tc>
        <w:tc>
          <w:tcPr>
            <w:tcW w:w="1332" w:type="dxa"/>
            <w:vAlign w:val="center"/>
          </w:tcPr>
          <w:p>
            <w:pPr>
              <w:pStyle w:val="2"/>
            </w:pPr>
            <w:r>
              <w:t>城镇新增就业人数</w:t>
            </w:r>
          </w:p>
        </w:tc>
        <w:tc>
          <w:tcPr>
            <w:tcW w:w="2891" w:type="dxa"/>
            <w:vAlign w:val="center"/>
          </w:tcPr>
          <w:p>
            <w:pPr>
              <w:pStyle w:val="2"/>
            </w:pPr>
            <w:r>
              <w:t>城镇新增就业人数</w:t>
            </w:r>
          </w:p>
        </w:tc>
        <w:tc>
          <w:tcPr>
            <w:tcW w:w="1276" w:type="dxa"/>
            <w:vAlign w:val="center"/>
          </w:tcPr>
          <w:p>
            <w:pPr>
              <w:pStyle w:val="2"/>
            </w:pPr>
            <w:r>
              <w:t>4000人</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年末城镇登记失业率</w:t>
            </w:r>
          </w:p>
        </w:tc>
        <w:tc>
          <w:tcPr>
            <w:tcW w:w="2891" w:type="dxa"/>
            <w:vAlign w:val="center"/>
          </w:tcPr>
          <w:p>
            <w:pPr>
              <w:pStyle w:val="2"/>
            </w:pPr>
            <w:r>
              <w:t>年末城镇登记失业率</w:t>
            </w:r>
          </w:p>
        </w:tc>
        <w:tc>
          <w:tcPr>
            <w:tcW w:w="1276" w:type="dxa"/>
            <w:vAlign w:val="center"/>
          </w:tcPr>
          <w:p>
            <w:pPr>
              <w:pStyle w:val="2"/>
            </w:pPr>
            <w:r>
              <w:t>&lt;4.5%</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失业人员再就业人数</w:t>
            </w:r>
          </w:p>
        </w:tc>
        <w:tc>
          <w:tcPr>
            <w:tcW w:w="2891" w:type="dxa"/>
            <w:vAlign w:val="center"/>
          </w:tcPr>
          <w:p>
            <w:pPr>
              <w:pStyle w:val="2"/>
            </w:pPr>
            <w:r>
              <w:t>失业人员再就业人数</w:t>
            </w:r>
          </w:p>
        </w:tc>
        <w:tc>
          <w:tcPr>
            <w:tcW w:w="1276" w:type="dxa"/>
            <w:vAlign w:val="center"/>
          </w:tcPr>
          <w:p>
            <w:pPr>
              <w:pStyle w:val="2"/>
            </w:pPr>
            <w:r>
              <w:t>1150人</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就业困难人员就业人数</w:t>
            </w:r>
          </w:p>
        </w:tc>
        <w:tc>
          <w:tcPr>
            <w:tcW w:w="2891" w:type="dxa"/>
            <w:vAlign w:val="center"/>
          </w:tcPr>
          <w:p>
            <w:pPr>
              <w:pStyle w:val="2"/>
            </w:pPr>
            <w:r>
              <w:t>就业困难人员就业人数</w:t>
            </w:r>
          </w:p>
        </w:tc>
        <w:tc>
          <w:tcPr>
            <w:tcW w:w="1276" w:type="dxa"/>
            <w:vAlign w:val="center"/>
          </w:tcPr>
          <w:p>
            <w:pPr>
              <w:pStyle w:val="2"/>
            </w:pPr>
            <w:r>
              <w:t>600人</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公共就业服务满意度</w:t>
            </w:r>
          </w:p>
        </w:tc>
        <w:tc>
          <w:tcPr>
            <w:tcW w:w="2891" w:type="dxa"/>
            <w:vAlign w:val="center"/>
          </w:tcPr>
          <w:p>
            <w:pPr>
              <w:pStyle w:val="2"/>
            </w:pPr>
            <w:r>
              <w:t>公共就业服务满意度</w:t>
            </w:r>
          </w:p>
        </w:tc>
        <w:tc>
          <w:tcPr>
            <w:tcW w:w="1276" w:type="dxa"/>
            <w:vAlign w:val="center"/>
          </w:tcPr>
          <w:p>
            <w:pPr>
              <w:pStyle w:val="2"/>
            </w:pPr>
            <w:r>
              <w:t>≥90%</w:t>
            </w:r>
          </w:p>
        </w:tc>
        <w:tc>
          <w:tcPr>
            <w:tcW w:w="1843" w:type="dxa"/>
            <w:vAlign w:val="center"/>
          </w:tcPr>
          <w:p>
            <w:pPr>
              <w:pStyle w:val="2"/>
            </w:pPr>
          </w:p>
        </w:tc>
      </w:tr>
    </w:tbl>
    <w:p>
      <w:pPr>
        <w:sectPr>
          <w:pgSz w:w="11900" w:h="16840"/>
          <w:pgMar w:top="1984" w:right="1304" w:bottom="1134" w:left="1304" w:header="720" w:footer="720" w:gutter="0"/>
          <w:cols w:num="1" w:space="720"/>
        </w:sectPr>
      </w:pPr>
    </w:p>
    <w:p>
      <w:pPr>
        <w:jc w:val="center"/>
      </w:pPr>
    </w:p>
    <w:p>
      <w:pPr>
        <w:ind w:firstLine="560"/>
        <w:outlineLvl w:val="3"/>
      </w:pPr>
      <w:bookmarkStart w:id="7" w:name="_Toc_4_4_0000000023"/>
      <w:r>
        <w:rPr>
          <w:rFonts w:ascii="方正仿宋_GBK" w:eastAsia="方正仿宋_GBK" w:hAnsi="方正仿宋_GBK" w:cs="方正仿宋_GBK" w:hint="eastAsia"/>
          <w:color w:val="000000"/>
          <w:sz w:val="28"/>
        </w:rPr>
        <w:t>7</w:t>
      </w:r>
      <w:r>
        <w:rPr>
          <w:rFonts w:ascii="方正仿宋_GBK" w:eastAsia="方正仿宋_GBK" w:hAnsi="方正仿宋_GBK" w:cs="方正仿宋_GBK"/>
          <w:color w:val="000000"/>
          <w:sz w:val="28"/>
        </w:rPr>
        <w:t>.2022年中央就业补助资金绩效目标表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323004宽城满族自治县就业服务局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13082722P00521310001W</w:t>
            </w:r>
          </w:p>
        </w:tc>
        <w:tc>
          <w:tcPr>
            <w:tcW w:w="1587" w:type="dxa"/>
            <w:vAlign w:val="center"/>
          </w:tcPr>
          <w:p>
            <w:pPr>
              <w:pStyle w:val="1"/>
            </w:pPr>
            <w:r>
              <w:t>项目名称</w:t>
            </w:r>
          </w:p>
        </w:tc>
        <w:tc>
          <w:tcPr>
            <w:tcW w:w="4422" w:type="dxa"/>
            <w:gridSpan w:val="3"/>
            <w:vAlign w:val="center"/>
          </w:tcPr>
          <w:p>
            <w:pPr>
              <w:pStyle w:val="2"/>
            </w:pPr>
            <w:r>
              <w:t>2022年中央就业补助资金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711.00</w:t>
            </w:r>
          </w:p>
        </w:tc>
        <w:tc>
          <w:tcPr>
            <w:tcW w:w="1587" w:type="dxa"/>
            <w:vAlign w:val="center"/>
          </w:tcPr>
          <w:p>
            <w:pPr>
              <w:pStyle w:val="1"/>
            </w:pPr>
            <w:r>
              <w:t>其中：财政    资金</w:t>
            </w:r>
          </w:p>
        </w:tc>
        <w:tc>
          <w:tcPr>
            <w:tcW w:w="1304" w:type="dxa"/>
            <w:vAlign w:val="center"/>
          </w:tcPr>
          <w:p>
            <w:pPr>
              <w:pStyle w:val="2"/>
            </w:pPr>
            <w:r>
              <w:t>711.00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用于社会保险补贴公益岗性岗位补贴，就业见习补贴，求职创业补贴，就业创业服务补贴及其他经省级人民政府批准的其他支出项目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1.目标内容1</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享受社会保险补贴人员数量</w:t>
            </w:r>
          </w:p>
        </w:tc>
        <w:tc>
          <w:tcPr>
            <w:tcW w:w="2891" w:type="dxa"/>
            <w:vAlign w:val="center"/>
          </w:tcPr>
          <w:p>
            <w:pPr>
              <w:pStyle w:val="2"/>
            </w:pPr>
            <w:r>
              <w:t>享受社会保险补贴人员数量</w:t>
            </w:r>
          </w:p>
        </w:tc>
        <w:tc>
          <w:tcPr>
            <w:tcW w:w="1276" w:type="dxa"/>
            <w:vAlign w:val="center"/>
          </w:tcPr>
          <w:p>
            <w:pPr>
              <w:pStyle w:val="2"/>
            </w:pPr>
            <w:r>
              <w:t>400人</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享受公益岗岗位补贴人数</w:t>
            </w:r>
          </w:p>
        </w:tc>
        <w:tc>
          <w:tcPr>
            <w:tcW w:w="2891" w:type="dxa"/>
            <w:vAlign w:val="center"/>
          </w:tcPr>
          <w:p>
            <w:pPr>
              <w:pStyle w:val="2"/>
            </w:pPr>
            <w:r>
              <w:t>享受公益岗岗位补贴人数</w:t>
            </w:r>
          </w:p>
        </w:tc>
        <w:tc>
          <w:tcPr>
            <w:tcW w:w="1276" w:type="dxa"/>
            <w:vAlign w:val="center"/>
          </w:tcPr>
          <w:p>
            <w:pPr>
              <w:pStyle w:val="2"/>
            </w:pPr>
            <w:r>
              <w:t>300人</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社会保险补贴发放准确率</w:t>
            </w:r>
          </w:p>
        </w:tc>
        <w:tc>
          <w:tcPr>
            <w:tcW w:w="2891" w:type="dxa"/>
            <w:vAlign w:val="center"/>
          </w:tcPr>
          <w:p>
            <w:pPr>
              <w:pStyle w:val="2"/>
            </w:pPr>
            <w:r>
              <w:t>社会保险补贴发放准确率</w:t>
            </w:r>
          </w:p>
        </w:tc>
        <w:tc>
          <w:tcPr>
            <w:tcW w:w="1276" w:type="dxa"/>
            <w:vAlign w:val="center"/>
          </w:tcPr>
          <w:p>
            <w:pPr>
              <w:pStyle w:val="2"/>
            </w:pPr>
            <w:r>
              <w:t>≥96%</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公益岗性岗位补贴发放准确率</w:t>
            </w:r>
          </w:p>
        </w:tc>
        <w:tc>
          <w:tcPr>
            <w:tcW w:w="2891" w:type="dxa"/>
            <w:vAlign w:val="center"/>
          </w:tcPr>
          <w:p>
            <w:pPr>
              <w:pStyle w:val="2"/>
            </w:pPr>
            <w:r>
              <w:t>公益岗性岗位补贴发放准确率</w:t>
            </w:r>
          </w:p>
        </w:tc>
        <w:tc>
          <w:tcPr>
            <w:tcW w:w="1276" w:type="dxa"/>
            <w:vAlign w:val="center"/>
          </w:tcPr>
          <w:p>
            <w:pPr>
              <w:pStyle w:val="2"/>
            </w:pPr>
            <w:r>
              <w:t>≥96%</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就业见习补贴发放准确率</w:t>
            </w:r>
          </w:p>
        </w:tc>
        <w:tc>
          <w:tcPr>
            <w:tcW w:w="2891" w:type="dxa"/>
            <w:vAlign w:val="center"/>
          </w:tcPr>
          <w:p>
            <w:pPr>
              <w:pStyle w:val="2"/>
            </w:pPr>
            <w:r>
              <w:t>就业见习补贴发放准确率</w:t>
            </w:r>
          </w:p>
        </w:tc>
        <w:tc>
          <w:tcPr>
            <w:tcW w:w="1276" w:type="dxa"/>
            <w:vAlign w:val="center"/>
          </w:tcPr>
          <w:p>
            <w:pPr>
              <w:pStyle w:val="2"/>
            </w:pPr>
            <w:r>
              <w:t>≥96%</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求职创业补贴发放准确率</w:t>
            </w:r>
          </w:p>
        </w:tc>
        <w:tc>
          <w:tcPr>
            <w:tcW w:w="2891" w:type="dxa"/>
            <w:vAlign w:val="center"/>
          </w:tcPr>
          <w:p>
            <w:pPr>
              <w:pStyle w:val="2"/>
            </w:pPr>
            <w:r>
              <w:t>求职创业补贴发放准确率</w:t>
            </w:r>
          </w:p>
        </w:tc>
        <w:tc>
          <w:tcPr>
            <w:tcW w:w="1276" w:type="dxa"/>
            <w:vAlign w:val="center"/>
          </w:tcPr>
          <w:p>
            <w:pPr>
              <w:pStyle w:val="2"/>
            </w:pPr>
            <w:r>
              <w:t>≥96%</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公益岗性岗位补贴人均标准</w:t>
            </w:r>
          </w:p>
        </w:tc>
        <w:tc>
          <w:tcPr>
            <w:tcW w:w="2891" w:type="dxa"/>
            <w:vAlign w:val="center"/>
          </w:tcPr>
          <w:p>
            <w:pPr>
              <w:pStyle w:val="2"/>
            </w:pPr>
            <w:r>
              <w:t>公益岗性岗位补贴人均标准</w:t>
            </w:r>
          </w:p>
        </w:tc>
        <w:tc>
          <w:tcPr>
            <w:tcW w:w="1276" w:type="dxa"/>
            <w:vAlign w:val="center"/>
          </w:tcPr>
          <w:p>
            <w:pPr>
              <w:pStyle w:val="2"/>
            </w:pPr>
            <w:r>
              <w:t>参照当地最低工资标准</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补贴资金发放下达及时率</w:t>
            </w:r>
          </w:p>
        </w:tc>
        <w:tc>
          <w:tcPr>
            <w:tcW w:w="2891" w:type="dxa"/>
            <w:vAlign w:val="center"/>
          </w:tcPr>
          <w:p>
            <w:pPr>
              <w:pStyle w:val="2"/>
            </w:pPr>
            <w:r>
              <w:t>补贴资金发放下达及时率</w:t>
            </w:r>
          </w:p>
        </w:tc>
        <w:tc>
          <w:tcPr>
            <w:tcW w:w="1276" w:type="dxa"/>
            <w:vAlign w:val="center"/>
          </w:tcPr>
          <w:p>
            <w:pPr>
              <w:pStyle w:val="2"/>
            </w:pPr>
            <w:r>
              <w:t>100%</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经济效益指标</w:t>
            </w:r>
          </w:p>
        </w:tc>
        <w:tc>
          <w:tcPr>
            <w:tcW w:w="1332" w:type="dxa"/>
            <w:vAlign w:val="center"/>
          </w:tcPr>
          <w:p>
            <w:pPr>
              <w:pStyle w:val="2"/>
            </w:pPr>
            <w:r>
              <w:t>城镇新增就业人数</w:t>
            </w:r>
          </w:p>
        </w:tc>
        <w:tc>
          <w:tcPr>
            <w:tcW w:w="2891" w:type="dxa"/>
            <w:vAlign w:val="center"/>
          </w:tcPr>
          <w:p>
            <w:pPr>
              <w:pStyle w:val="2"/>
            </w:pPr>
            <w:r>
              <w:t>城镇新增就业人数</w:t>
            </w:r>
          </w:p>
        </w:tc>
        <w:tc>
          <w:tcPr>
            <w:tcW w:w="1276" w:type="dxa"/>
            <w:vAlign w:val="center"/>
          </w:tcPr>
          <w:p>
            <w:pPr>
              <w:pStyle w:val="2"/>
            </w:pPr>
            <w:r>
              <w:t>4000人</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年末城镇登记失业率</w:t>
            </w:r>
          </w:p>
        </w:tc>
        <w:tc>
          <w:tcPr>
            <w:tcW w:w="2891" w:type="dxa"/>
            <w:vAlign w:val="center"/>
          </w:tcPr>
          <w:p>
            <w:pPr>
              <w:pStyle w:val="2"/>
            </w:pPr>
            <w:r>
              <w:t>年末城镇登记失业率</w:t>
            </w:r>
          </w:p>
        </w:tc>
        <w:tc>
          <w:tcPr>
            <w:tcW w:w="1276" w:type="dxa"/>
            <w:vAlign w:val="center"/>
          </w:tcPr>
          <w:p>
            <w:pPr>
              <w:pStyle w:val="2"/>
            </w:pPr>
            <w:r>
              <w:t>&lt;4.5%</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失业人员再就业人数</w:t>
            </w:r>
          </w:p>
        </w:tc>
        <w:tc>
          <w:tcPr>
            <w:tcW w:w="2891" w:type="dxa"/>
            <w:vAlign w:val="center"/>
          </w:tcPr>
          <w:p>
            <w:pPr>
              <w:pStyle w:val="2"/>
            </w:pPr>
            <w:r>
              <w:t>失业人员再就业人数</w:t>
            </w:r>
          </w:p>
        </w:tc>
        <w:tc>
          <w:tcPr>
            <w:tcW w:w="1276" w:type="dxa"/>
            <w:vAlign w:val="center"/>
          </w:tcPr>
          <w:p>
            <w:pPr>
              <w:pStyle w:val="2"/>
            </w:pPr>
            <w:r>
              <w:t>1150人</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就业困难人员就业人数</w:t>
            </w:r>
          </w:p>
        </w:tc>
        <w:tc>
          <w:tcPr>
            <w:tcW w:w="2891" w:type="dxa"/>
            <w:vAlign w:val="center"/>
          </w:tcPr>
          <w:p>
            <w:pPr>
              <w:pStyle w:val="2"/>
            </w:pPr>
            <w:r>
              <w:t>就业困难人员就业人数</w:t>
            </w:r>
          </w:p>
        </w:tc>
        <w:tc>
          <w:tcPr>
            <w:tcW w:w="1276" w:type="dxa"/>
            <w:vAlign w:val="center"/>
          </w:tcPr>
          <w:p>
            <w:pPr>
              <w:pStyle w:val="2"/>
            </w:pPr>
            <w:r>
              <w:t>600人</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公共就业服务满意度</w:t>
            </w:r>
          </w:p>
        </w:tc>
        <w:tc>
          <w:tcPr>
            <w:tcW w:w="2891" w:type="dxa"/>
            <w:vAlign w:val="center"/>
          </w:tcPr>
          <w:p>
            <w:pPr>
              <w:pStyle w:val="2"/>
            </w:pPr>
            <w:r>
              <w:t>公共就业服务满意度</w:t>
            </w:r>
          </w:p>
          <w:p>
            <w:pPr>
              <w:pStyle w:val="2"/>
            </w:pPr>
          </w:p>
        </w:tc>
        <w:tc>
          <w:tcPr>
            <w:tcW w:w="1276" w:type="dxa"/>
            <w:vAlign w:val="center"/>
          </w:tcPr>
          <w:p>
            <w:pPr>
              <w:pStyle w:val="2"/>
            </w:pPr>
            <w:r>
              <w:t>≥90%</w:t>
            </w:r>
          </w:p>
        </w:tc>
        <w:tc>
          <w:tcPr>
            <w:tcW w:w="1843" w:type="dxa"/>
            <w:vAlign w:val="center"/>
          </w:tcPr>
          <w:p>
            <w:pPr>
              <w:pStyle w:val="2"/>
            </w:pPr>
          </w:p>
        </w:tc>
      </w:tr>
    </w:tbl>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outlineLvl w:val="3"/>
      </w:pPr>
      <w:r>
        <w:rPr>
          <w:rFonts w:ascii="方正仿宋_GBK" w:eastAsia="方正仿宋_GBK" w:hAnsi="方正仿宋_GBK" w:cs="方正仿宋_GBK" w:hint="eastAsia"/>
          <w:color w:val="000000"/>
          <w:sz w:val="28"/>
        </w:rPr>
        <w:t>8.</w:t>
      </w:r>
      <w:r>
        <w:rPr>
          <w:rFonts w:ascii="方正仿宋_GBK" w:eastAsia="方正仿宋_GBK" w:hAnsi="方正仿宋_GBK" w:cs="方正仿宋_GBK"/>
          <w:color w:val="000000"/>
          <w:sz w:val="28"/>
        </w:rPr>
        <w:t>城乡居民养老保险政府代缴县级配套资金绩效目标表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13082722P00520910001P</w:t>
            </w:r>
          </w:p>
        </w:tc>
        <w:tc>
          <w:tcPr>
            <w:tcW w:w="1587" w:type="dxa"/>
            <w:vAlign w:val="center"/>
          </w:tcPr>
          <w:p>
            <w:pPr>
              <w:pStyle w:val="1"/>
            </w:pPr>
            <w:r>
              <w:t>项目名称</w:t>
            </w:r>
          </w:p>
        </w:tc>
        <w:tc>
          <w:tcPr>
            <w:tcW w:w="4422" w:type="dxa"/>
            <w:gridSpan w:val="3"/>
            <w:vAlign w:val="center"/>
          </w:tcPr>
          <w:p>
            <w:pPr>
              <w:pStyle w:val="2"/>
            </w:pPr>
            <w:r>
              <w:t>]城乡居民养老保险政府代缴县级配套资金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45.00</w:t>
            </w:r>
          </w:p>
        </w:tc>
        <w:tc>
          <w:tcPr>
            <w:tcW w:w="1587" w:type="dxa"/>
            <w:vAlign w:val="center"/>
          </w:tcPr>
          <w:p>
            <w:pPr>
              <w:pStyle w:val="1"/>
            </w:pPr>
            <w:r>
              <w:t>其中：财政    资金</w:t>
            </w:r>
          </w:p>
        </w:tc>
        <w:tc>
          <w:tcPr>
            <w:tcW w:w="1304" w:type="dxa"/>
            <w:vAlign w:val="center"/>
          </w:tcPr>
          <w:p>
            <w:pPr>
              <w:pStyle w:val="2"/>
            </w:pPr>
            <w:r>
              <w:t>45.00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贫困人口代缴</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1.参保率85%以上；补贴资金按时足额发放，资金发放到位率100%</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成本指标</w:t>
            </w:r>
          </w:p>
        </w:tc>
        <w:tc>
          <w:tcPr>
            <w:tcW w:w="1332" w:type="dxa"/>
            <w:vAlign w:val="center"/>
          </w:tcPr>
          <w:p>
            <w:pPr>
              <w:pStyle w:val="2"/>
            </w:pPr>
            <w:r>
              <w:t>养老保险补贴是够超标发放</w:t>
            </w:r>
          </w:p>
        </w:tc>
        <w:tc>
          <w:tcPr>
            <w:tcW w:w="2891" w:type="dxa"/>
            <w:vAlign w:val="center"/>
          </w:tcPr>
          <w:p>
            <w:pPr>
              <w:pStyle w:val="2"/>
            </w:pPr>
            <w:r>
              <w:t>反应养老保险补贴是够超文件规定标标准发放情况</w:t>
            </w:r>
          </w:p>
        </w:tc>
        <w:tc>
          <w:tcPr>
            <w:tcW w:w="1276" w:type="dxa"/>
            <w:vAlign w:val="center"/>
          </w:tcPr>
          <w:p>
            <w:pPr>
              <w:pStyle w:val="2"/>
            </w:pPr>
            <w:r>
              <w:t>≥33元</w:t>
            </w:r>
          </w:p>
        </w:tc>
        <w:tc>
          <w:tcPr>
            <w:tcW w:w="1843" w:type="dxa"/>
            <w:vAlign w:val="center"/>
          </w:tcPr>
          <w:p>
            <w:pPr>
              <w:pStyle w:val="2"/>
            </w:pPr>
            <w:r>
              <w:t>按文件规定执行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参保人数（人）</w:t>
            </w:r>
          </w:p>
        </w:tc>
        <w:tc>
          <w:tcPr>
            <w:tcW w:w="2891" w:type="dxa"/>
            <w:vAlign w:val="center"/>
          </w:tcPr>
          <w:p>
            <w:pPr>
              <w:pStyle w:val="2"/>
            </w:pPr>
            <w:r>
              <w:t>反应财政补贴参保人数</w:t>
            </w:r>
          </w:p>
        </w:tc>
        <w:tc>
          <w:tcPr>
            <w:tcW w:w="1276" w:type="dxa"/>
            <w:vAlign w:val="center"/>
          </w:tcPr>
          <w:p>
            <w:pPr>
              <w:pStyle w:val="2"/>
            </w:pPr>
            <w:r>
              <w:t>≥13692人</w:t>
            </w:r>
          </w:p>
        </w:tc>
        <w:tc>
          <w:tcPr>
            <w:tcW w:w="1843" w:type="dxa"/>
            <w:vAlign w:val="center"/>
          </w:tcPr>
          <w:p>
            <w:pPr>
              <w:pStyle w:val="2"/>
            </w:pPr>
            <w:r>
              <w:t>按文件规定执行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养老保险参保率</w:t>
            </w:r>
          </w:p>
        </w:tc>
        <w:tc>
          <w:tcPr>
            <w:tcW w:w="2891" w:type="dxa"/>
            <w:vAlign w:val="center"/>
          </w:tcPr>
          <w:p>
            <w:pPr>
              <w:pStyle w:val="2"/>
            </w:pPr>
            <w:r>
              <w:t>反应城乡居民养老保险参保情况</w:t>
            </w:r>
          </w:p>
        </w:tc>
        <w:tc>
          <w:tcPr>
            <w:tcW w:w="1276" w:type="dxa"/>
            <w:vAlign w:val="center"/>
          </w:tcPr>
          <w:p>
            <w:pPr>
              <w:pStyle w:val="2"/>
            </w:pPr>
            <w:r>
              <w:t>≥85百分比</w:t>
            </w:r>
          </w:p>
        </w:tc>
        <w:tc>
          <w:tcPr>
            <w:tcW w:w="1843" w:type="dxa"/>
            <w:vAlign w:val="center"/>
          </w:tcPr>
          <w:p>
            <w:pPr>
              <w:pStyle w:val="2"/>
            </w:pPr>
            <w:r>
              <w:t>按文件规定执行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当年各级财政补助资金到位率</w:t>
            </w:r>
          </w:p>
        </w:tc>
        <w:tc>
          <w:tcPr>
            <w:tcW w:w="2891" w:type="dxa"/>
            <w:vAlign w:val="center"/>
          </w:tcPr>
          <w:p>
            <w:pPr>
              <w:pStyle w:val="2"/>
            </w:pPr>
            <w:r>
              <w:t>反应当年各级财政补助资金到位情况</w:t>
            </w:r>
          </w:p>
        </w:tc>
        <w:tc>
          <w:tcPr>
            <w:tcW w:w="1276" w:type="dxa"/>
            <w:vAlign w:val="center"/>
          </w:tcPr>
          <w:p>
            <w:pPr>
              <w:pStyle w:val="2"/>
            </w:pPr>
            <w:r>
              <w:t>≥100百分比</w:t>
            </w:r>
          </w:p>
        </w:tc>
        <w:tc>
          <w:tcPr>
            <w:tcW w:w="1843" w:type="dxa"/>
            <w:vAlign w:val="center"/>
          </w:tcPr>
          <w:p>
            <w:pPr>
              <w:pStyle w:val="2"/>
            </w:pPr>
            <w:r>
              <w:t>按文件规定执行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养老保险法定覆盖人数</w:t>
            </w:r>
          </w:p>
        </w:tc>
        <w:tc>
          <w:tcPr>
            <w:tcW w:w="2891" w:type="dxa"/>
            <w:vAlign w:val="center"/>
          </w:tcPr>
          <w:p>
            <w:pPr>
              <w:pStyle w:val="2"/>
            </w:pPr>
            <w:r>
              <w:t>反应养老保险法定覆盖人数</w:t>
            </w:r>
          </w:p>
        </w:tc>
        <w:tc>
          <w:tcPr>
            <w:tcW w:w="1276" w:type="dxa"/>
            <w:vAlign w:val="center"/>
          </w:tcPr>
          <w:p>
            <w:pPr>
              <w:pStyle w:val="2"/>
            </w:pPr>
            <w:r>
              <w:t>≥111994人</w:t>
            </w:r>
          </w:p>
        </w:tc>
        <w:tc>
          <w:tcPr>
            <w:tcW w:w="1843" w:type="dxa"/>
            <w:vAlign w:val="center"/>
          </w:tcPr>
          <w:p>
            <w:pPr>
              <w:pStyle w:val="2"/>
            </w:pPr>
            <w:r>
              <w:t>按文件规定执行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满意度指标</w:t>
            </w:r>
          </w:p>
        </w:tc>
        <w:tc>
          <w:tcPr>
            <w:tcW w:w="2891" w:type="dxa"/>
            <w:vAlign w:val="center"/>
          </w:tcPr>
          <w:p>
            <w:pPr>
              <w:pStyle w:val="2"/>
            </w:pPr>
            <w:r>
              <w:t>参保对象满意度</w:t>
            </w:r>
          </w:p>
        </w:tc>
        <w:tc>
          <w:tcPr>
            <w:tcW w:w="1276" w:type="dxa"/>
            <w:vAlign w:val="center"/>
          </w:tcPr>
          <w:p>
            <w:pPr>
              <w:pStyle w:val="2"/>
            </w:pPr>
            <w:r>
              <w:t>≥80百分比</w:t>
            </w:r>
          </w:p>
        </w:tc>
        <w:tc>
          <w:tcPr>
            <w:tcW w:w="1843" w:type="dxa"/>
            <w:vAlign w:val="center"/>
          </w:tcPr>
          <w:p>
            <w:pPr>
              <w:pStyle w:val="2"/>
            </w:pPr>
            <w:r>
              <w:t>按文件规定执行</w:t>
            </w:r>
          </w:p>
        </w:tc>
      </w:tr>
    </w:tbl>
    <w:p>
      <w:pPr>
        <w:sectPr>
          <w:pgSz w:w="11900" w:h="16840"/>
          <w:pgMar w:top="1984" w:right="1304" w:bottom="1134" w:left="1304" w:header="720" w:footer="720" w:gutter="0"/>
          <w:cols w:num="1" w:space="720"/>
        </w:sectPr>
      </w:pPr>
    </w:p>
    <w:p>
      <w:pPr>
        <w:jc w:val="center"/>
      </w:pPr>
    </w:p>
    <w:p>
      <w:pPr>
        <w:ind w:firstLine="560"/>
        <w:outlineLvl w:val="3"/>
      </w:pPr>
      <w:bookmarkStart w:id="8" w:name="_Toc_4_4_0000000008"/>
      <w:r>
        <w:rPr>
          <w:rFonts w:ascii="方正仿宋_GBK" w:eastAsia="方正仿宋_GBK" w:hAnsi="方正仿宋_GBK" w:cs="方正仿宋_GBK" w:hint="eastAsia"/>
          <w:color w:val="000000"/>
          <w:sz w:val="28"/>
        </w:rPr>
        <w:t>9</w:t>
      </w:r>
      <w:r>
        <w:rPr>
          <w:rFonts w:ascii="方正仿宋_GBK" w:eastAsia="方正仿宋_GBK" w:hAnsi="方正仿宋_GBK" w:cs="方正仿宋_GBK"/>
          <w:color w:val="000000"/>
          <w:sz w:val="28"/>
        </w:rPr>
        <w:t>.被征地农民社会保障费及风险金绩效目标表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13082722P00514710001H</w:t>
            </w:r>
          </w:p>
        </w:tc>
        <w:tc>
          <w:tcPr>
            <w:tcW w:w="1587" w:type="dxa"/>
            <w:vAlign w:val="center"/>
          </w:tcPr>
          <w:p>
            <w:pPr>
              <w:pStyle w:val="1"/>
            </w:pPr>
            <w:r>
              <w:t>项目名称</w:t>
            </w:r>
          </w:p>
        </w:tc>
        <w:tc>
          <w:tcPr>
            <w:tcW w:w="4422" w:type="dxa"/>
            <w:gridSpan w:val="3"/>
            <w:vAlign w:val="center"/>
          </w:tcPr>
          <w:p>
            <w:pPr>
              <w:pStyle w:val="2"/>
            </w:pPr>
            <w:r>
              <w:t>被征地农民社会保障费及风险金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2000.00</w:t>
            </w:r>
          </w:p>
        </w:tc>
        <w:tc>
          <w:tcPr>
            <w:tcW w:w="1587" w:type="dxa"/>
            <w:vAlign w:val="center"/>
          </w:tcPr>
          <w:p>
            <w:pPr>
              <w:pStyle w:val="1"/>
            </w:pPr>
            <w:r>
              <w:t>其中：财政    资金</w:t>
            </w:r>
          </w:p>
        </w:tc>
        <w:tc>
          <w:tcPr>
            <w:tcW w:w="1304" w:type="dxa"/>
            <w:vAlign w:val="center"/>
          </w:tcPr>
          <w:p>
            <w:pPr>
              <w:pStyle w:val="2"/>
            </w:pPr>
            <w:r>
              <w:t>2000.00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被征地农民社会保障费及风险金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1.参保率85%以上；补贴资金按时足额发放，资金发放到位率100%</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成本指标</w:t>
            </w:r>
          </w:p>
        </w:tc>
        <w:tc>
          <w:tcPr>
            <w:tcW w:w="1332" w:type="dxa"/>
            <w:vAlign w:val="center"/>
          </w:tcPr>
          <w:p>
            <w:pPr>
              <w:pStyle w:val="2"/>
            </w:pPr>
            <w:r>
              <w:t>养老保险补贴是够超标发放</w:t>
            </w:r>
          </w:p>
        </w:tc>
        <w:tc>
          <w:tcPr>
            <w:tcW w:w="2891" w:type="dxa"/>
            <w:vAlign w:val="center"/>
          </w:tcPr>
          <w:p>
            <w:pPr>
              <w:pStyle w:val="2"/>
            </w:pPr>
            <w:r>
              <w:t>2.775</w:t>
            </w:r>
          </w:p>
        </w:tc>
        <w:tc>
          <w:tcPr>
            <w:tcW w:w="1276" w:type="dxa"/>
            <w:vAlign w:val="center"/>
          </w:tcPr>
          <w:p>
            <w:pPr>
              <w:pStyle w:val="2"/>
            </w:pPr>
            <w:r>
              <w:t>0.27元</w:t>
            </w:r>
          </w:p>
        </w:tc>
        <w:tc>
          <w:tcPr>
            <w:tcW w:w="1843" w:type="dxa"/>
            <w:vAlign w:val="center"/>
          </w:tcPr>
          <w:p>
            <w:pPr>
              <w:pStyle w:val="2"/>
            </w:pPr>
            <w:r>
              <w:t>按文件要求执行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征地数量</w:t>
            </w:r>
          </w:p>
        </w:tc>
        <w:tc>
          <w:tcPr>
            <w:tcW w:w="2891" w:type="dxa"/>
            <w:vAlign w:val="center"/>
          </w:tcPr>
          <w:p>
            <w:pPr>
              <w:pStyle w:val="2"/>
            </w:pPr>
            <w:r>
              <w:t>征地数量</w:t>
            </w:r>
          </w:p>
        </w:tc>
        <w:tc>
          <w:tcPr>
            <w:tcW w:w="1276" w:type="dxa"/>
            <w:vAlign w:val="center"/>
          </w:tcPr>
          <w:p>
            <w:pPr>
              <w:pStyle w:val="2"/>
            </w:pPr>
            <w:r>
              <w:t>≥700人</w:t>
            </w:r>
          </w:p>
        </w:tc>
        <w:tc>
          <w:tcPr>
            <w:tcW w:w="1843" w:type="dxa"/>
            <w:vAlign w:val="center"/>
          </w:tcPr>
          <w:p>
            <w:pPr>
              <w:pStyle w:val="2"/>
            </w:pPr>
            <w:r>
              <w:t>按文件要求执行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养老保险参保率</w:t>
            </w:r>
          </w:p>
        </w:tc>
        <w:tc>
          <w:tcPr>
            <w:tcW w:w="2891" w:type="dxa"/>
            <w:vAlign w:val="center"/>
          </w:tcPr>
          <w:p>
            <w:pPr>
              <w:pStyle w:val="2"/>
            </w:pPr>
            <w:r>
              <w:t>反应城乡居民养老保险参保情况</w:t>
            </w:r>
          </w:p>
        </w:tc>
        <w:tc>
          <w:tcPr>
            <w:tcW w:w="1276" w:type="dxa"/>
            <w:vAlign w:val="center"/>
          </w:tcPr>
          <w:p>
            <w:pPr>
              <w:pStyle w:val="2"/>
            </w:pPr>
            <w:r>
              <w:t>≥85百分比</w:t>
            </w:r>
          </w:p>
        </w:tc>
        <w:tc>
          <w:tcPr>
            <w:tcW w:w="1843" w:type="dxa"/>
            <w:vAlign w:val="center"/>
          </w:tcPr>
          <w:p>
            <w:pPr>
              <w:pStyle w:val="2"/>
            </w:pPr>
            <w:r>
              <w:t>按文件要求执行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当年各级财政补助资金到位率</w:t>
            </w:r>
          </w:p>
        </w:tc>
        <w:tc>
          <w:tcPr>
            <w:tcW w:w="2891" w:type="dxa"/>
            <w:vAlign w:val="center"/>
          </w:tcPr>
          <w:p>
            <w:pPr>
              <w:pStyle w:val="2"/>
            </w:pPr>
            <w:r>
              <w:t>反应当年各级财政补助资金到位情况</w:t>
            </w:r>
          </w:p>
        </w:tc>
        <w:tc>
          <w:tcPr>
            <w:tcW w:w="1276" w:type="dxa"/>
            <w:vAlign w:val="center"/>
          </w:tcPr>
          <w:p>
            <w:pPr>
              <w:pStyle w:val="2"/>
            </w:pPr>
            <w:r>
              <w:t>≥100百分比</w:t>
            </w:r>
          </w:p>
        </w:tc>
        <w:tc>
          <w:tcPr>
            <w:tcW w:w="1843" w:type="dxa"/>
            <w:vAlign w:val="center"/>
          </w:tcPr>
          <w:p>
            <w:pPr>
              <w:pStyle w:val="2"/>
            </w:pPr>
            <w:r>
              <w:t>按文件要求执行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养老保险法定覆盖人数</w:t>
            </w:r>
          </w:p>
        </w:tc>
        <w:tc>
          <w:tcPr>
            <w:tcW w:w="2891" w:type="dxa"/>
            <w:vAlign w:val="center"/>
          </w:tcPr>
          <w:p>
            <w:pPr>
              <w:pStyle w:val="2"/>
            </w:pPr>
            <w:r>
              <w:t>反应养老保险法定覆盖人数</w:t>
            </w:r>
          </w:p>
        </w:tc>
        <w:tc>
          <w:tcPr>
            <w:tcW w:w="1276" w:type="dxa"/>
            <w:vAlign w:val="center"/>
          </w:tcPr>
          <w:p>
            <w:pPr>
              <w:pStyle w:val="2"/>
            </w:pPr>
            <w:r>
              <w:t>≥4192人</w:t>
            </w:r>
          </w:p>
        </w:tc>
        <w:tc>
          <w:tcPr>
            <w:tcW w:w="1843" w:type="dxa"/>
            <w:vAlign w:val="center"/>
          </w:tcPr>
          <w:p>
            <w:pPr>
              <w:pStyle w:val="2"/>
            </w:pPr>
            <w:r>
              <w:t>按文件要求执行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满意度指标</w:t>
            </w:r>
          </w:p>
        </w:tc>
        <w:tc>
          <w:tcPr>
            <w:tcW w:w="2891" w:type="dxa"/>
            <w:vAlign w:val="center"/>
          </w:tcPr>
          <w:p>
            <w:pPr>
              <w:pStyle w:val="2"/>
            </w:pPr>
            <w:r>
              <w:t>参保对象满意度</w:t>
            </w:r>
          </w:p>
        </w:tc>
        <w:tc>
          <w:tcPr>
            <w:tcW w:w="1276" w:type="dxa"/>
            <w:vAlign w:val="center"/>
          </w:tcPr>
          <w:p>
            <w:pPr>
              <w:pStyle w:val="2"/>
            </w:pPr>
            <w:r>
              <w:t>≥80百分比</w:t>
            </w:r>
          </w:p>
        </w:tc>
        <w:tc>
          <w:tcPr>
            <w:tcW w:w="1843" w:type="dxa"/>
            <w:vAlign w:val="center"/>
          </w:tcPr>
          <w:p>
            <w:pPr>
              <w:pStyle w:val="2"/>
            </w:pPr>
            <w:r>
              <w:t>按文件要求执行</w:t>
            </w:r>
          </w:p>
          <w:p>
            <w:pPr>
              <w:pStyle w:val="2"/>
            </w:pPr>
          </w:p>
        </w:tc>
      </w:tr>
    </w:tbl>
    <w:p>
      <w:pPr>
        <w:sectPr>
          <w:pgSz w:w="11900" w:h="16840"/>
          <w:pgMar w:top="1984" w:right="1304" w:bottom="1134" w:left="1304" w:header="720" w:footer="720" w:gutter="0"/>
          <w:cols w:num="1" w:space="720"/>
        </w:sectPr>
      </w:pPr>
    </w:p>
    <w:p>
      <w:pPr>
        <w:jc w:val="center"/>
      </w:pPr>
    </w:p>
    <w:p>
      <w:pPr>
        <w:ind w:firstLine="560"/>
        <w:outlineLvl w:val="3"/>
      </w:pPr>
      <w:bookmarkStart w:id="9" w:name="_Toc_4_4_0000000009"/>
      <w:r>
        <w:rPr>
          <w:rFonts w:ascii="方正仿宋_GBK" w:eastAsia="方正仿宋_GBK" w:hAnsi="方正仿宋_GBK" w:cs="方正仿宋_GBK" w:hint="eastAsia"/>
          <w:color w:val="000000"/>
          <w:sz w:val="28"/>
        </w:rPr>
        <w:t>10</w:t>
      </w:r>
      <w:r>
        <w:rPr>
          <w:rFonts w:ascii="方正仿宋_GBK" w:eastAsia="方正仿宋_GBK" w:hAnsi="方正仿宋_GBK" w:cs="方正仿宋_GBK"/>
          <w:color w:val="000000"/>
          <w:sz w:val="28"/>
        </w:rPr>
        <w:t>.城乡居民养老保险财政代缴省级配套资金绩效目标表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13082722P005205100038</w:t>
            </w:r>
          </w:p>
        </w:tc>
        <w:tc>
          <w:tcPr>
            <w:tcW w:w="1587" w:type="dxa"/>
            <w:vAlign w:val="center"/>
          </w:tcPr>
          <w:p>
            <w:pPr>
              <w:pStyle w:val="1"/>
            </w:pPr>
            <w:r>
              <w:t>项目名称</w:t>
            </w:r>
          </w:p>
        </w:tc>
        <w:tc>
          <w:tcPr>
            <w:tcW w:w="4422" w:type="dxa"/>
            <w:gridSpan w:val="3"/>
            <w:vAlign w:val="center"/>
          </w:tcPr>
          <w:p>
            <w:pPr>
              <w:pStyle w:val="2"/>
            </w:pPr>
            <w:r>
              <w:t>城乡居民养老保险财政代缴省级配套资金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47.00</w:t>
            </w:r>
          </w:p>
        </w:tc>
        <w:tc>
          <w:tcPr>
            <w:tcW w:w="1587" w:type="dxa"/>
            <w:vAlign w:val="center"/>
          </w:tcPr>
          <w:p>
            <w:pPr>
              <w:pStyle w:val="1"/>
            </w:pPr>
            <w:r>
              <w:t>其中：财政    资金</w:t>
            </w:r>
          </w:p>
        </w:tc>
        <w:tc>
          <w:tcPr>
            <w:tcW w:w="1304" w:type="dxa"/>
            <w:vAlign w:val="center"/>
          </w:tcPr>
          <w:p>
            <w:pPr>
              <w:pStyle w:val="2"/>
            </w:pPr>
            <w:r>
              <w:t>47.00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贫困人口代缴</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1.参保率85%以上；补贴资金按时足额发放，资金发放到位率100%</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成本指标</w:t>
            </w:r>
          </w:p>
        </w:tc>
        <w:tc>
          <w:tcPr>
            <w:tcW w:w="1332" w:type="dxa"/>
            <w:vAlign w:val="center"/>
          </w:tcPr>
          <w:p>
            <w:pPr>
              <w:pStyle w:val="2"/>
            </w:pPr>
            <w:r>
              <w:t>养老保险补贴是够超标发放</w:t>
            </w:r>
          </w:p>
        </w:tc>
        <w:tc>
          <w:tcPr>
            <w:tcW w:w="2891" w:type="dxa"/>
            <w:vAlign w:val="center"/>
          </w:tcPr>
          <w:p>
            <w:pPr>
              <w:pStyle w:val="2"/>
            </w:pPr>
            <w:r>
              <w:t>反应养老保险补贴是够超文件规定标标准发放情况</w:t>
            </w:r>
          </w:p>
        </w:tc>
        <w:tc>
          <w:tcPr>
            <w:tcW w:w="1276" w:type="dxa"/>
            <w:vAlign w:val="center"/>
          </w:tcPr>
          <w:p>
            <w:pPr>
              <w:pStyle w:val="2"/>
            </w:pPr>
            <w:r>
              <w:t>≥67元</w:t>
            </w:r>
          </w:p>
        </w:tc>
        <w:tc>
          <w:tcPr>
            <w:tcW w:w="1843" w:type="dxa"/>
            <w:vAlign w:val="center"/>
          </w:tcPr>
          <w:p>
            <w:pPr>
              <w:pStyle w:val="2"/>
            </w:pPr>
            <w:r>
              <w:t>按文件规定执行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参保人数（人）</w:t>
            </w:r>
          </w:p>
        </w:tc>
        <w:tc>
          <w:tcPr>
            <w:tcW w:w="2891" w:type="dxa"/>
            <w:vAlign w:val="center"/>
          </w:tcPr>
          <w:p>
            <w:pPr>
              <w:pStyle w:val="2"/>
            </w:pPr>
            <w:r>
              <w:t>反应财政补贴参保人数</w:t>
            </w:r>
          </w:p>
        </w:tc>
        <w:tc>
          <w:tcPr>
            <w:tcW w:w="1276" w:type="dxa"/>
            <w:vAlign w:val="center"/>
          </w:tcPr>
          <w:p>
            <w:pPr>
              <w:pStyle w:val="2"/>
            </w:pPr>
            <w:r>
              <w:t>≥13692人</w:t>
            </w:r>
          </w:p>
        </w:tc>
        <w:tc>
          <w:tcPr>
            <w:tcW w:w="1843" w:type="dxa"/>
            <w:vAlign w:val="center"/>
          </w:tcPr>
          <w:p>
            <w:pPr>
              <w:pStyle w:val="2"/>
            </w:pPr>
            <w:r>
              <w:t>按文件规定执行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养老保险参保率</w:t>
            </w:r>
          </w:p>
        </w:tc>
        <w:tc>
          <w:tcPr>
            <w:tcW w:w="2891" w:type="dxa"/>
            <w:vAlign w:val="center"/>
          </w:tcPr>
          <w:p>
            <w:pPr>
              <w:pStyle w:val="2"/>
            </w:pPr>
            <w:r>
              <w:t>反应城乡居民养老保险参保情况</w:t>
            </w:r>
          </w:p>
        </w:tc>
        <w:tc>
          <w:tcPr>
            <w:tcW w:w="1276" w:type="dxa"/>
            <w:vAlign w:val="center"/>
          </w:tcPr>
          <w:p>
            <w:pPr>
              <w:pStyle w:val="2"/>
            </w:pPr>
            <w:r>
              <w:t>≥85百分比</w:t>
            </w:r>
          </w:p>
        </w:tc>
        <w:tc>
          <w:tcPr>
            <w:tcW w:w="1843" w:type="dxa"/>
            <w:vAlign w:val="center"/>
          </w:tcPr>
          <w:p>
            <w:pPr>
              <w:pStyle w:val="2"/>
            </w:pPr>
            <w:r>
              <w:t>按文件规定执行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当年各级财政补助资金到位率</w:t>
            </w:r>
          </w:p>
        </w:tc>
        <w:tc>
          <w:tcPr>
            <w:tcW w:w="2891" w:type="dxa"/>
            <w:vAlign w:val="center"/>
          </w:tcPr>
          <w:p>
            <w:pPr>
              <w:pStyle w:val="2"/>
            </w:pPr>
            <w:r>
              <w:t>反应当年各级财政补助资金到位情况</w:t>
            </w:r>
          </w:p>
        </w:tc>
        <w:tc>
          <w:tcPr>
            <w:tcW w:w="1276" w:type="dxa"/>
            <w:vAlign w:val="center"/>
          </w:tcPr>
          <w:p>
            <w:pPr>
              <w:pStyle w:val="2"/>
            </w:pPr>
            <w:r>
              <w:t>≥100百分比</w:t>
            </w:r>
          </w:p>
        </w:tc>
        <w:tc>
          <w:tcPr>
            <w:tcW w:w="1843" w:type="dxa"/>
            <w:vAlign w:val="center"/>
          </w:tcPr>
          <w:p>
            <w:pPr>
              <w:pStyle w:val="2"/>
            </w:pPr>
            <w:r>
              <w:t>按文件规定执行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养老保险法定覆盖人数</w:t>
            </w:r>
          </w:p>
        </w:tc>
        <w:tc>
          <w:tcPr>
            <w:tcW w:w="2891" w:type="dxa"/>
            <w:vAlign w:val="center"/>
          </w:tcPr>
          <w:p>
            <w:pPr>
              <w:pStyle w:val="2"/>
            </w:pPr>
            <w:r>
              <w:t>反应养老保险法定覆盖人数</w:t>
            </w:r>
          </w:p>
        </w:tc>
        <w:tc>
          <w:tcPr>
            <w:tcW w:w="1276" w:type="dxa"/>
            <w:vAlign w:val="center"/>
          </w:tcPr>
          <w:p>
            <w:pPr>
              <w:pStyle w:val="2"/>
            </w:pPr>
            <w:r>
              <w:t>≥111994人</w:t>
            </w:r>
          </w:p>
        </w:tc>
        <w:tc>
          <w:tcPr>
            <w:tcW w:w="1843" w:type="dxa"/>
            <w:vAlign w:val="center"/>
          </w:tcPr>
          <w:p>
            <w:pPr>
              <w:pStyle w:val="2"/>
            </w:pPr>
            <w:r>
              <w:t>按文件规定执行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满意度指标</w:t>
            </w:r>
          </w:p>
        </w:tc>
        <w:tc>
          <w:tcPr>
            <w:tcW w:w="2891" w:type="dxa"/>
            <w:vAlign w:val="center"/>
          </w:tcPr>
          <w:p>
            <w:pPr>
              <w:pStyle w:val="2"/>
            </w:pPr>
            <w:r>
              <w:t>参保对象满意度</w:t>
            </w:r>
          </w:p>
        </w:tc>
        <w:tc>
          <w:tcPr>
            <w:tcW w:w="1276" w:type="dxa"/>
            <w:vAlign w:val="center"/>
          </w:tcPr>
          <w:p>
            <w:pPr>
              <w:pStyle w:val="2"/>
            </w:pPr>
            <w:r>
              <w:t>≥80百分比</w:t>
            </w:r>
          </w:p>
        </w:tc>
        <w:tc>
          <w:tcPr>
            <w:tcW w:w="1843" w:type="dxa"/>
            <w:vAlign w:val="center"/>
          </w:tcPr>
          <w:p>
            <w:pPr>
              <w:pStyle w:val="2"/>
            </w:pPr>
            <w:r>
              <w:t>按文件规定执行</w:t>
            </w:r>
          </w:p>
        </w:tc>
      </w:tr>
    </w:tbl>
    <w:p>
      <w:pPr>
        <w:sectPr>
          <w:pgSz w:w="11900" w:h="16840"/>
          <w:pgMar w:top="1984" w:right="1304" w:bottom="1134" w:left="1304" w:header="720" w:footer="720" w:gutter="0"/>
          <w:cols w:num="1" w:space="720"/>
        </w:sectPr>
      </w:pPr>
    </w:p>
    <w:p>
      <w:pPr>
        <w:jc w:val="center"/>
      </w:pPr>
    </w:p>
    <w:p>
      <w:pPr>
        <w:ind w:firstLine="560"/>
        <w:outlineLvl w:val="3"/>
      </w:pPr>
      <w:bookmarkStart w:id="10" w:name="_Toc_4_4_0000000010"/>
      <w:r>
        <w:rPr>
          <w:rFonts w:ascii="方正仿宋_GBK" w:eastAsia="方正仿宋_GBK" w:hAnsi="方正仿宋_GBK" w:cs="方正仿宋_GBK" w:hint="eastAsia"/>
          <w:color w:val="000000"/>
          <w:sz w:val="28"/>
        </w:rPr>
        <w:t>11</w:t>
      </w:r>
      <w:r>
        <w:rPr>
          <w:rFonts w:ascii="方正仿宋_GBK" w:eastAsia="方正仿宋_GBK" w:hAnsi="方正仿宋_GBK" w:cs="方正仿宋_GBK"/>
          <w:color w:val="000000"/>
          <w:sz w:val="28"/>
        </w:rPr>
        <w:t>.城乡居民养老保险基础养老金补贴县级配套资金绩效目标表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13082722P00520710001C</w:t>
            </w:r>
          </w:p>
        </w:tc>
        <w:tc>
          <w:tcPr>
            <w:tcW w:w="1587" w:type="dxa"/>
            <w:vAlign w:val="center"/>
          </w:tcPr>
          <w:p>
            <w:pPr>
              <w:pStyle w:val="1"/>
            </w:pPr>
            <w:r>
              <w:t>项目名称</w:t>
            </w:r>
          </w:p>
        </w:tc>
        <w:tc>
          <w:tcPr>
            <w:tcW w:w="4422" w:type="dxa"/>
            <w:gridSpan w:val="3"/>
            <w:vAlign w:val="center"/>
          </w:tcPr>
          <w:p>
            <w:pPr>
              <w:pStyle w:val="2"/>
            </w:pPr>
            <w:r>
              <w:t>城乡居民养老保险基础养老金补贴县级配套资金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496.00</w:t>
            </w:r>
          </w:p>
        </w:tc>
        <w:tc>
          <w:tcPr>
            <w:tcW w:w="1587" w:type="dxa"/>
            <w:vAlign w:val="center"/>
          </w:tcPr>
          <w:p>
            <w:pPr>
              <w:pStyle w:val="1"/>
            </w:pPr>
            <w:r>
              <w:t>其中：财政    资金</w:t>
            </w:r>
          </w:p>
        </w:tc>
        <w:tc>
          <w:tcPr>
            <w:tcW w:w="1304" w:type="dxa"/>
            <w:vAlign w:val="center"/>
          </w:tcPr>
          <w:p>
            <w:pPr>
              <w:pStyle w:val="2"/>
            </w:pPr>
            <w:r>
              <w:t>496.00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城乡居民养老保险基础养老金县级配套资金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1.参保率85%以上；补贴资金按时足额发放，资金发放到位率100%</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成本指标</w:t>
            </w:r>
          </w:p>
        </w:tc>
        <w:tc>
          <w:tcPr>
            <w:tcW w:w="1332" w:type="dxa"/>
            <w:vAlign w:val="center"/>
          </w:tcPr>
          <w:p>
            <w:pPr>
              <w:pStyle w:val="2"/>
            </w:pPr>
            <w:r>
              <w:t>养老保险补贴是够超标发放</w:t>
            </w:r>
          </w:p>
        </w:tc>
        <w:tc>
          <w:tcPr>
            <w:tcW w:w="2891" w:type="dxa"/>
            <w:vAlign w:val="center"/>
          </w:tcPr>
          <w:p>
            <w:pPr>
              <w:pStyle w:val="2"/>
            </w:pPr>
            <w:r>
              <w:t>反应养老保险补贴是够超文件规定标标准发放情况</w:t>
            </w:r>
          </w:p>
        </w:tc>
        <w:tc>
          <w:tcPr>
            <w:tcW w:w="1276" w:type="dxa"/>
            <w:vAlign w:val="center"/>
          </w:tcPr>
          <w:p>
            <w:pPr>
              <w:pStyle w:val="2"/>
            </w:pPr>
            <w:r>
              <w:t>≥10元</w:t>
            </w:r>
          </w:p>
        </w:tc>
        <w:tc>
          <w:tcPr>
            <w:tcW w:w="1843" w:type="dxa"/>
            <w:vAlign w:val="center"/>
          </w:tcPr>
          <w:p>
            <w:pPr>
              <w:pStyle w:val="2"/>
            </w:pPr>
            <w:r>
              <w:t>按文件规定执行</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参保人数（人）</w:t>
            </w:r>
          </w:p>
        </w:tc>
        <w:tc>
          <w:tcPr>
            <w:tcW w:w="2891" w:type="dxa"/>
            <w:vAlign w:val="center"/>
          </w:tcPr>
          <w:p>
            <w:pPr>
              <w:pStyle w:val="2"/>
            </w:pPr>
            <w:r>
              <w:t>反应财政补贴参保人数</w:t>
            </w:r>
          </w:p>
        </w:tc>
        <w:tc>
          <w:tcPr>
            <w:tcW w:w="1276" w:type="dxa"/>
            <w:vAlign w:val="center"/>
          </w:tcPr>
          <w:p>
            <w:pPr>
              <w:pStyle w:val="2"/>
            </w:pPr>
            <w:r>
              <w:t>≥67492人</w:t>
            </w:r>
          </w:p>
        </w:tc>
        <w:tc>
          <w:tcPr>
            <w:tcW w:w="1843" w:type="dxa"/>
            <w:vAlign w:val="center"/>
          </w:tcPr>
          <w:p>
            <w:pPr>
              <w:pStyle w:val="2"/>
            </w:pPr>
            <w:r>
              <w:t>按文件规定执行</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养老保险参保率</w:t>
            </w:r>
          </w:p>
        </w:tc>
        <w:tc>
          <w:tcPr>
            <w:tcW w:w="2891" w:type="dxa"/>
            <w:vAlign w:val="center"/>
          </w:tcPr>
          <w:p>
            <w:pPr>
              <w:pStyle w:val="2"/>
            </w:pPr>
            <w:r>
              <w:t>反应城乡居民养老保险参保情况</w:t>
            </w:r>
          </w:p>
        </w:tc>
        <w:tc>
          <w:tcPr>
            <w:tcW w:w="1276" w:type="dxa"/>
            <w:vAlign w:val="center"/>
          </w:tcPr>
          <w:p>
            <w:pPr>
              <w:pStyle w:val="2"/>
            </w:pPr>
            <w:r>
              <w:t>≥85百分比</w:t>
            </w:r>
          </w:p>
        </w:tc>
        <w:tc>
          <w:tcPr>
            <w:tcW w:w="1843" w:type="dxa"/>
            <w:vAlign w:val="center"/>
          </w:tcPr>
          <w:p>
            <w:pPr>
              <w:pStyle w:val="2"/>
            </w:pPr>
            <w:r>
              <w:t>按文件规定执行</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当年各级财政补助资金到位率</w:t>
            </w:r>
          </w:p>
        </w:tc>
        <w:tc>
          <w:tcPr>
            <w:tcW w:w="2891" w:type="dxa"/>
            <w:vAlign w:val="center"/>
          </w:tcPr>
          <w:p>
            <w:pPr>
              <w:pStyle w:val="2"/>
            </w:pPr>
            <w:r>
              <w:t>反应当年各级财政补助资金到位情况</w:t>
            </w:r>
          </w:p>
        </w:tc>
        <w:tc>
          <w:tcPr>
            <w:tcW w:w="1276" w:type="dxa"/>
            <w:vAlign w:val="center"/>
          </w:tcPr>
          <w:p>
            <w:pPr>
              <w:pStyle w:val="2"/>
            </w:pPr>
            <w:r>
              <w:t>≥100百分比</w:t>
            </w:r>
          </w:p>
        </w:tc>
        <w:tc>
          <w:tcPr>
            <w:tcW w:w="1843" w:type="dxa"/>
            <w:vAlign w:val="center"/>
          </w:tcPr>
          <w:p>
            <w:pPr>
              <w:pStyle w:val="2"/>
            </w:pPr>
            <w:r>
              <w:t>按文件规定执行</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养老保险法定覆盖人数</w:t>
            </w:r>
          </w:p>
        </w:tc>
        <w:tc>
          <w:tcPr>
            <w:tcW w:w="2891" w:type="dxa"/>
            <w:vAlign w:val="center"/>
          </w:tcPr>
          <w:p>
            <w:pPr>
              <w:pStyle w:val="2"/>
            </w:pPr>
            <w:r>
              <w:t>反应养老保险法定覆盖人数</w:t>
            </w:r>
          </w:p>
        </w:tc>
        <w:tc>
          <w:tcPr>
            <w:tcW w:w="1276" w:type="dxa"/>
            <w:vAlign w:val="center"/>
          </w:tcPr>
          <w:p>
            <w:pPr>
              <w:pStyle w:val="2"/>
            </w:pPr>
            <w:r>
              <w:t>≥111994人</w:t>
            </w:r>
          </w:p>
        </w:tc>
        <w:tc>
          <w:tcPr>
            <w:tcW w:w="1843" w:type="dxa"/>
            <w:vAlign w:val="center"/>
          </w:tcPr>
          <w:p>
            <w:pPr>
              <w:pStyle w:val="2"/>
            </w:pPr>
            <w:r>
              <w:t>按文件规定执行</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满意度指标</w:t>
            </w:r>
          </w:p>
        </w:tc>
        <w:tc>
          <w:tcPr>
            <w:tcW w:w="2891" w:type="dxa"/>
            <w:vAlign w:val="center"/>
          </w:tcPr>
          <w:p>
            <w:pPr>
              <w:pStyle w:val="2"/>
            </w:pPr>
            <w:r>
              <w:t>参保对象满意度</w:t>
            </w:r>
          </w:p>
        </w:tc>
        <w:tc>
          <w:tcPr>
            <w:tcW w:w="1276" w:type="dxa"/>
            <w:vAlign w:val="center"/>
          </w:tcPr>
          <w:p>
            <w:pPr>
              <w:pStyle w:val="2"/>
            </w:pPr>
            <w:r>
              <w:t>≥80百分比</w:t>
            </w:r>
          </w:p>
        </w:tc>
        <w:tc>
          <w:tcPr>
            <w:tcW w:w="1843" w:type="dxa"/>
            <w:vAlign w:val="center"/>
          </w:tcPr>
          <w:p>
            <w:pPr>
              <w:pStyle w:val="2"/>
            </w:pPr>
            <w:r>
              <w:t>按文件规定执行</w:t>
            </w:r>
          </w:p>
        </w:tc>
      </w:tr>
    </w:tbl>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12</w:t>
      </w:r>
      <w:r>
        <w:rPr>
          <w:rFonts w:ascii="方正仿宋_GBK" w:eastAsia="方正仿宋_GBK" w:hAnsi="方正仿宋_GBK" w:cs="方正仿宋_GBK"/>
          <w:color w:val="000000"/>
          <w:sz w:val="28"/>
        </w:rPr>
        <w:t>.2022年生态护林员补助绩效目标表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327001宽城满族自治县林业和草原局本级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13082722P00522310004Y</w:t>
            </w:r>
          </w:p>
        </w:tc>
        <w:tc>
          <w:tcPr>
            <w:tcW w:w="1587" w:type="dxa"/>
            <w:vAlign w:val="center"/>
          </w:tcPr>
          <w:p>
            <w:pPr>
              <w:pStyle w:val="1"/>
            </w:pPr>
            <w:r>
              <w:t>项目名称</w:t>
            </w:r>
          </w:p>
        </w:tc>
        <w:tc>
          <w:tcPr>
            <w:tcW w:w="4422" w:type="dxa"/>
            <w:gridSpan w:val="3"/>
            <w:vAlign w:val="center"/>
          </w:tcPr>
          <w:p>
            <w:pPr>
              <w:pStyle w:val="2"/>
            </w:pPr>
            <w:r>
              <w:t>2022年生态护林员补助</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464.00</w:t>
            </w:r>
          </w:p>
        </w:tc>
        <w:tc>
          <w:tcPr>
            <w:tcW w:w="1587" w:type="dxa"/>
            <w:vAlign w:val="center"/>
          </w:tcPr>
          <w:p>
            <w:pPr>
              <w:pStyle w:val="1"/>
            </w:pPr>
            <w:r>
              <w:t>其中：财政    资金</w:t>
            </w:r>
          </w:p>
        </w:tc>
        <w:tc>
          <w:tcPr>
            <w:tcW w:w="1304" w:type="dxa"/>
            <w:vAlign w:val="center"/>
          </w:tcPr>
          <w:p>
            <w:pPr>
              <w:pStyle w:val="2"/>
            </w:pPr>
            <w:r>
              <w:t>464.00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选聘、续聘生态护林员</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1.森林资源得到有效管护，护林员补贴及时足额发放</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聘用生态护林员人员</w:t>
            </w:r>
          </w:p>
        </w:tc>
        <w:tc>
          <w:tcPr>
            <w:tcW w:w="2891" w:type="dxa"/>
            <w:vAlign w:val="center"/>
          </w:tcPr>
          <w:p>
            <w:pPr>
              <w:pStyle w:val="2"/>
            </w:pPr>
            <w:r>
              <w:t>聘用生态护林员人员</w:t>
            </w:r>
          </w:p>
        </w:tc>
        <w:tc>
          <w:tcPr>
            <w:tcW w:w="1276" w:type="dxa"/>
            <w:vAlign w:val="center"/>
          </w:tcPr>
          <w:p>
            <w:pPr>
              <w:pStyle w:val="2"/>
            </w:pPr>
            <w:r>
              <w:t>≥1000人</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护林员考核合格率</w:t>
            </w:r>
          </w:p>
        </w:tc>
        <w:tc>
          <w:tcPr>
            <w:tcW w:w="2891" w:type="dxa"/>
            <w:vAlign w:val="center"/>
          </w:tcPr>
          <w:p>
            <w:pPr>
              <w:pStyle w:val="2"/>
            </w:pPr>
            <w:r>
              <w:t>护林员考核合格率</w:t>
            </w:r>
          </w:p>
        </w:tc>
        <w:tc>
          <w:tcPr>
            <w:tcW w:w="1276" w:type="dxa"/>
            <w:vAlign w:val="center"/>
          </w:tcPr>
          <w:p>
            <w:pPr>
              <w:pStyle w:val="2"/>
            </w:pPr>
            <w:r>
              <w:t>≥90%</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护林员选聘完成率</w:t>
            </w:r>
          </w:p>
        </w:tc>
        <w:tc>
          <w:tcPr>
            <w:tcW w:w="2891" w:type="dxa"/>
            <w:vAlign w:val="center"/>
          </w:tcPr>
          <w:p>
            <w:pPr>
              <w:pStyle w:val="2"/>
            </w:pPr>
            <w:r>
              <w:t>护林员选聘完成率</w:t>
            </w:r>
          </w:p>
        </w:tc>
        <w:tc>
          <w:tcPr>
            <w:tcW w:w="1276" w:type="dxa"/>
            <w:vAlign w:val="center"/>
          </w:tcPr>
          <w:p>
            <w:pPr>
              <w:pStyle w:val="2"/>
            </w:pPr>
            <w:r>
              <w:t>≥90%</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护林员工资</w:t>
            </w:r>
          </w:p>
        </w:tc>
        <w:tc>
          <w:tcPr>
            <w:tcW w:w="2891" w:type="dxa"/>
            <w:vAlign w:val="center"/>
          </w:tcPr>
          <w:p>
            <w:pPr>
              <w:pStyle w:val="2"/>
            </w:pPr>
            <w:r>
              <w:t>护林员工资</w:t>
            </w:r>
          </w:p>
        </w:tc>
        <w:tc>
          <w:tcPr>
            <w:tcW w:w="1276" w:type="dxa"/>
            <w:vAlign w:val="center"/>
          </w:tcPr>
          <w:p>
            <w:pPr>
              <w:pStyle w:val="2"/>
            </w:pPr>
            <w:r>
              <w:t>8200元/年</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经济效益指标</w:t>
            </w:r>
          </w:p>
        </w:tc>
        <w:tc>
          <w:tcPr>
            <w:tcW w:w="1332" w:type="dxa"/>
            <w:vAlign w:val="center"/>
          </w:tcPr>
          <w:p>
            <w:pPr>
              <w:pStyle w:val="2"/>
            </w:pPr>
            <w:r>
              <w:t>护林员家庭收入是否增加</w:t>
            </w:r>
          </w:p>
        </w:tc>
        <w:tc>
          <w:tcPr>
            <w:tcW w:w="2891" w:type="dxa"/>
            <w:vAlign w:val="center"/>
          </w:tcPr>
          <w:p>
            <w:pPr>
              <w:pStyle w:val="2"/>
            </w:pPr>
            <w:r>
              <w:t>护林员家庭收入是否增加</w:t>
            </w:r>
          </w:p>
        </w:tc>
        <w:tc>
          <w:tcPr>
            <w:tcW w:w="1276" w:type="dxa"/>
            <w:vAlign w:val="center"/>
          </w:tcPr>
          <w:p>
            <w:pPr>
              <w:pStyle w:val="2"/>
            </w:pPr>
            <w:r>
              <w:t>是</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森林资源是否得到保护</w:t>
            </w:r>
          </w:p>
        </w:tc>
        <w:tc>
          <w:tcPr>
            <w:tcW w:w="2891" w:type="dxa"/>
            <w:vAlign w:val="center"/>
          </w:tcPr>
          <w:p>
            <w:pPr>
              <w:pStyle w:val="2"/>
            </w:pPr>
            <w:r>
              <w:t>森林资源是否得到保护</w:t>
            </w:r>
          </w:p>
        </w:tc>
        <w:tc>
          <w:tcPr>
            <w:tcW w:w="1276" w:type="dxa"/>
            <w:vAlign w:val="center"/>
          </w:tcPr>
          <w:p>
            <w:pPr>
              <w:pStyle w:val="2"/>
            </w:pPr>
            <w:r>
              <w:t>是</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生态护林员满意度</w:t>
            </w:r>
          </w:p>
        </w:tc>
        <w:tc>
          <w:tcPr>
            <w:tcW w:w="2891" w:type="dxa"/>
            <w:vAlign w:val="center"/>
          </w:tcPr>
          <w:p>
            <w:pPr>
              <w:pStyle w:val="2"/>
            </w:pPr>
            <w:r>
              <w:t>生态护林员满意度</w:t>
            </w:r>
          </w:p>
        </w:tc>
        <w:tc>
          <w:tcPr>
            <w:tcW w:w="1276" w:type="dxa"/>
            <w:vAlign w:val="center"/>
          </w:tcPr>
          <w:p>
            <w:pPr>
              <w:pStyle w:val="2"/>
            </w:pPr>
            <w:r>
              <w:t>≥90%</w:t>
            </w:r>
          </w:p>
        </w:tc>
        <w:tc>
          <w:tcPr>
            <w:tcW w:w="1843" w:type="dxa"/>
            <w:vAlign w:val="center"/>
          </w:tcPr>
          <w:p>
            <w:pPr>
              <w:pStyle w:val="2"/>
            </w:pPr>
            <w:r>
              <w:t>河北省林业改革发展资金使用管理和绩效管理实施细则</w:t>
            </w:r>
          </w:p>
        </w:tc>
      </w:tr>
    </w:tbl>
    <w:p>
      <w:pPr>
        <w:sectPr>
          <w:pgSz w:w="11900" w:h="16840"/>
          <w:pgMar w:top="1984" w:right="1304" w:bottom="1134" w:left="1304" w:header="720" w:footer="720" w:gutter="0"/>
          <w:cols w:num="1" w:space="720"/>
        </w:sectPr>
      </w:pPr>
    </w:p>
    <w:p>
      <w:pPr>
        <w:jc w:val="center"/>
      </w:pPr>
    </w:p>
    <w:p>
      <w:pPr>
        <w:ind w:firstLine="560"/>
        <w:outlineLvl w:val="3"/>
      </w:pPr>
      <w:r>
        <w:rPr>
          <w:rFonts w:ascii="方正仿宋_GBK" w:eastAsia="方正仿宋_GBK" w:hAnsi="方正仿宋_GBK" w:cs="方正仿宋_GBK" w:hint="eastAsia"/>
          <w:color w:val="000000"/>
          <w:sz w:val="28"/>
        </w:rPr>
        <w:t>13</w:t>
      </w:r>
      <w:r>
        <w:rPr>
          <w:rFonts w:ascii="方正仿宋_GBK" w:eastAsia="方正仿宋_GBK" w:hAnsi="方正仿宋_GBK" w:cs="方正仿宋_GBK"/>
          <w:color w:val="000000"/>
          <w:sz w:val="28"/>
        </w:rPr>
        <w:t>.2022年省级林业有害生物防治补助绩效目标表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327001宽城满族自治县林业和草原局本级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13082722P00522510001F</w:t>
            </w:r>
          </w:p>
        </w:tc>
        <w:tc>
          <w:tcPr>
            <w:tcW w:w="1587" w:type="dxa"/>
            <w:vAlign w:val="center"/>
          </w:tcPr>
          <w:p>
            <w:pPr>
              <w:pStyle w:val="1"/>
            </w:pPr>
            <w:r>
              <w:t>项目名称</w:t>
            </w:r>
          </w:p>
        </w:tc>
        <w:tc>
          <w:tcPr>
            <w:tcW w:w="4422" w:type="dxa"/>
            <w:gridSpan w:val="3"/>
            <w:vAlign w:val="center"/>
          </w:tcPr>
          <w:p>
            <w:pPr>
              <w:pStyle w:val="2"/>
            </w:pPr>
            <w:r>
              <w:t>2022年省级林业有害生物防治补助</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20.00</w:t>
            </w:r>
          </w:p>
        </w:tc>
        <w:tc>
          <w:tcPr>
            <w:tcW w:w="1587" w:type="dxa"/>
            <w:vAlign w:val="center"/>
          </w:tcPr>
          <w:p>
            <w:pPr>
              <w:pStyle w:val="1"/>
            </w:pPr>
            <w:r>
              <w:t>其中：财政    资金</w:t>
            </w:r>
          </w:p>
        </w:tc>
        <w:tc>
          <w:tcPr>
            <w:tcW w:w="1304" w:type="dxa"/>
            <w:vAlign w:val="center"/>
          </w:tcPr>
          <w:p>
            <w:pPr>
              <w:pStyle w:val="2"/>
            </w:pPr>
            <w:r>
              <w:t>20.00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林业有害生物防治</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1.目标内容1</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购买防治药品</w:t>
            </w:r>
          </w:p>
        </w:tc>
        <w:tc>
          <w:tcPr>
            <w:tcW w:w="2891" w:type="dxa"/>
            <w:vAlign w:val="center"/>
          </w:tcPr>
          <w:p>
            <w:pPr>
              <w:pStyle w:val="2"/>
            </w:pPr>
            <w:r>
              <w:t>购买防治药品</w:t>
            </w:r>
          </w:p>
        </w:tc>
        <w:tc>
          <w:tcPr>
            <w:tcW w:w="1276" w:type="dxa"/>
            <w:vAlign w:val="center"/>
          </w:tcPr>
          <w:p>
            <w:pPr>
              <w:pStyle w:val="2"/>
            </w:pPr>
            <w:r>
              <w:t>≥2吨</w:t>
            </w:r>
          </w:p>
        </w:tc>
        <w:tc>
          <w:tcPr>
            <w:tcW w:w="1843" w:type="dxa"/>
            <w:vAlign w:val="center"/>
          </w:tcPr>
          <w:p>
            <w:pPr>
              <w:pStyle w:val="2"/>
            </w:pPr>
            <w:r>
              <w:t>根据常年防治需要测算</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有害生物成灾率</w:t>
            </w:r>
          </w:p>
        </w:tc>
        <w:tc>
          <w:tcPr>
            <w:tcW w:w="2891" w:type="dxa"/>
            <w:vAlign w:val="center"/>
          </w:tcPr>
          <w:p>
            <w:pPr>
              <w:pStyle w:val="2"/>
            </w:pPr>
            <w:r>
              <w:t>有害生物成灾率</w:t>
            </w:r>
          </w:p>
        </w:tc>
        <w:tc>
          <w:tcPr>
            <w:tcW w:w="1276" w:type="dxa"/>
            <w:vAlign w:val="center"/>
          </w:tcPr>
          <w:p>
            <w:pPr>
              <w:pStyle w:val="2"/>
            </w:pPr>
            <w:r>
              <w:t>≤4千分之</w:t>
            </w:r>
          </w:p>
        </w:tc>
        <w:tc>
          <w:tcPr>
            <w:tcW w:w="1843" w:type="dxa"/>
            <w:vAlign w:val="center"/>
          </w:tcPr>
          <w:p>
            <w:pPr>
              <w:pStyle w:val="2"/>
            </w:pPr>
            <w:r>
              <w:t>国家标准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是否按期完成</w:t>
            </w:r>
          </w:p>
        </w:tc>
        <w:tc>
          <w:tcPr>
            <w:tcW w:w="2891" w:type="dxa"/>
            <w:vAlign w:val="center"/>
          </w:tcPr>
          <w:p>
            <w:pPr>
              <w:pStyle w:val="2"/>
            </w:pPr>
            <w:r>
              <w:t>是否按期完成</w:t>
            </w:r>
          </w:p>
        </w:tc>
        <w:tc>
          <w:tcPr>
            <w:tcW w:w="1276" w:type="dxa"/>
            <w:vAlign w:val="center"/>
          </w:tcPr>
          <w:p>
            <w:pPr>
              <w:pStyle w:val="2"/>
            </w:pPr>
            <w:r>
              <w:t>是</w:t>
            </w:r>
          </w:p>
        </w:tc>
        <w:tc>
          <w:tcPr>
            <w:tcW w:w="1843" w:type="dxa"/>
            <w:vAlign w:val="center"/>
          </w:tcPr>
          <w:p>
            <w:pPr>
              <w:pStyle w:val="2"/>
            </w:pPr>
            <w:r>
              <w:t>项目目标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农药成本</w:t>
            </w:r>
          </w:p>
        </w:tc>
        <w:tc>
          <w:tcPr>
            <w:tcW w:w="2891" w:type="dxa"/>
            <w:vAlign w:val="center"/>
          </w:tcPr>
          <w:p>
            <w:pPr>
              <w:pStyle w:val="2"/>
            </w:pPr>
            <w:r>
              <w:t>农药成本</w:t>
            </w:r>
          </w:p>
        </w:tc>
        <w:tc>
          <w:tcPr>
            <w:tcW w:w="1276" w:type="dxa"/>
            <w:vAlign w:val="center"/>
          </w:tcPr>
          <w:p>
            <w:pPr>
              <w:pStyle w:val="2"/>
            </w:pPr>
            <w:r>
              <w:t>≤5万元/吨</w:t>
            </w:r>
          </w:p>
        </w:tc>
        <w:tc>
          <w:tcPr>
            <w:tcW w:w="1843" w:type="dxa"/>
            <w:vAlign w:val="center"/>
          </w:tcPr>
          <w:p>
            <w:pPr>
              <w:pStyle w:val="2"/>
            </w:pPr>
            <w:r>
              <w:t>市场测算</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生态效益指标</w:t>
            </w:r>
          </w:p>
        </w:tc>
        <w:tc>
          <w:tcPr>
            <w:tcW w:w="1332" w:type="dxa"/>
            <w:vAlign w:val="center"/>
          </w:tcPr>
          <w:p>
            <w:pPr>
              <w:pStyle w:val="2"/>
            </w:pPr>
            <w:r>
              <w:t>林业资源是否得到保护</w:t>
            </w:r>
          </w:p>
        </w:tc>
        <w:tc>
          <w:tcPr>
            <w:tcW w:w="2891" w:type="dxa"/>
            <w:vAlign w:val="center"/>
          </w:tcPr>
          <w:p>
            <w:pPr>
              <w:pStyle w:val="2"/>
            </w:pPr>
            <w:r>
              <w:t>林业资源是否得到保护</w:t>
            </w:r>
          </w:p>
        </w:tc>
        <w:tc>
          <w:tcPr>
            <w:tcW w:w="1276" w:type="dxa"/>
            <w:vAlign w:val="center"/>
          </w:tcPr>
          <w:p>
            <w:pPr>
              <w:pStyle w:val="2"/>
            </w:pPr>
            <w:r>
              <w:t>是</w:t>
            </w:r>
          </w:p>
        </w:tc>
        <w:tc>
          <w:tcPr>
            <w:tcW w:w="1843" w:type="dxa"/>
            <w:vAlign w:val="center"/>
          </w:tcPr>
          <w:p>
            <w:pPr>
              <w:pStyle w:val="2"/>
            </w:pPr>
            <w:r>
              <w:t>项目目标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有害生物是否得到可是持续控制</w:t>
            </w:r>
          </w:p>
        </w:tc>
        <w:tc>
          <w:tcPr>
            <w:tcW w:w="2891" w:type="dxa"/>
            <w:vAlign w:val="center"/>
          </w:tcPr>
          <w:p>
            <w:pPr>
              <w:pStyle w:val="2"/>
            </w:pPr>
            <w:r>
              <w:t>有害生物是否得到可是持续控制</w:t>
            </w:r>
          </w:p>
        </w:tc>
        <w:tc>
          <w:tcPr>
            <w:tcW w:w="1276" w:type="dxa"/>
            <w:vAlign w:val="center"/>
          </w:tcPr>
          <w:p>
            <w:pPr>
              <w:pStyle w:val="2"/>
            </w:pPr>
            <w:r>
              <w:t>是</w:t>
            </w:r>
          </w:p>
        </w:tc>
        <w:tc>
          <w:tcPr>
            <w:tcW w:w="1843" w:type="dxa"/>
            <w:vAlign w:val="center"/>
          </w:tcPr>
          <w:p>
            <w:pPr>
              <w:pStyle w:val="2"/>
            </w:pPr>
            <w:r>
              <w:t>项目目标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满意率</w:t>
            </w:r>
          </w:p>
        </w:tc>
        <w:tc>
          <w:tcPr>
            <w:tcW w:w="2891" w:type="dxa"/>
            <w:vAlign w:val="center"/>
          </w:tcPr>
          <w:p>
            <w:pPr>
              <w:pStyle w:val="2"/>
            </w:pPr>
            <w:r>
              <w:t>满意率</w:t>
            </w:r>
          </w:p>
        </w:tc>
        <w:tc>
          <w:tcPr>
            <w:tcW w:w="1276" w:type="dxa"/>
            <w:vAlign w:val="center"/>
          </w:tcPr>
          <w:p>
            <w:pPr>
              <w:pStyle w:val="2"/>
            </w:pPr>
            <w:r>
              <w:t>≥80%</w:t>
            </w:r>
          </w:p>
        </w:tc>
        <w:tc>
          <w:tcPr>
            <w:tcW w:w="1843" w:type="dxa"/>
            <w:vAlign w:val="center"/>
          </w:tcPr>
          <w:p>
            <w:pPr>
              <w:pStyle w:val="2"/>
            </w:pPr>
            <w:r>
              <w:t>项目目标</w:t>
            </w:r>
          </w:p>
        </w:tc>
      </w:tr>
    </w:tbl>
    <w:p>
      <w:pPr>
        <w:sectPr>
          <w:pgSz w:w="11900" w:h="16840"/>
          <w:pgMar w:top="1984" w:right="1304" w:bottom="1134" w:left="1304" w:header="720" w:footer="720" w:gutter="0"/>
          <w:cols w:num="1" w:space="720"/>
        </w:sectPr>
      </w:pPr>
    </w:p>
    <w:p>
      <w:pPr>
        <w:jc w:val="center"/>
      </w:pPr>
    </w:p>
    <w:p>
      <w:pPr>
        <w:ind w:firstLine="560"/>
        <w:outlineLvl w:val="3"/>
      </w:pPr>
      <w:r>
        <w:rPr>
          <w:rFonts w:ascii="方正仿宋_GBK" w:eastAsia="方正仿宋_GBK" w:hAnsi="方正仿宋_GBK" w:cs="方正仿宋_GBK" w:hint="eastAsia"/>
          <w:color w:val="000000"/>
          <w:sz w:val="28"/>
        </w:rPr>
        <w:t>14</w:t>
      </w:r>
      <w:r>
        <w:rPr>
          <w:rFonts w:ascii="方正仿宋_GBK" w:eastAsia="方正仿宋_GBK" w:hAnsi="方正仿宋_GBK" w:cs="方正仿宋_GBK"/>
          <w:color w:val="000000"/>
          <w:sz w:val="28"/>
        </w:rPr>
        <w:t>.2022年省级森林生态效益补偿绩效目标表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327001宽城满族自治县林业和草原局本级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13082722P00522510004A</w:t>
            </w:r>
          </w:p>
        </w:tc>
        <w:tc>
          <w:tcPr>
            <w:tcW w:w="1587" w:type="dxa"/>
            <w:vAlign w:val="center"/>
          </w:tcPr>
          <w:p>
            <w:pPr>
              <w:pStyle w:val="1"/>
            </w:pPr>
            <w:r>
              <w:t>项目名称</w:t>
            </w:r>
          </w:p>
        </w:tc>
        <w:tc>
          <w:tcPr>
            <w:tcW w:w="4422" w:type="dxa"/>
            <w:gridSpan w:val="3"/>
            <w:vAlign w:val="center"/>
          </w:tcPr>
          <w:p>
            <w:pPr>
              <w:pStyle w:val="2"/>
            </w:pPr>
            <w:r>
              <w:t>2022年省级森林生态效益补偿</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159.00</w:t>
            </w:r>
          </w:p>
        </w:tc>
        <w:tc>
          <w:tcPr>
            <w:tcW w:w="1587" w:type="dxa"/>
            <w:vAlign w:val="center"/>
          </w:tcPr>
          <w:p>
            <w:pPr>
              <w:pStyle w:val="1"/>
            </w:pPr>
            <w:r>
              <w:t>其中：财政    资金</w:t>
            </w:r>
          </w:p>
        </w:tc>
        <w:tc>
          <w:tcPr>
            <w:tcW w:w="1304" w:type="dxa"/>
            <w:vAlign w:val="center"/>
          </w:tcPr>
          <w:p>
            <w:pPr>
              <w:pStyle w:val="2"/>
            </w:pPr>
            <w:r>
              <w:t>159.00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省级森林生态效益补偿</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1.完成省级公益林管护任务</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省级公益林管护面积</w:t>
            </w:r>
          </w:p>
        </w:tc>
        <w:tc>
          <w:tcPr>
            <w:tcW w:w="2891" w:type="dxa"/>
            <w:vAlign w:val="center"/>
          </w:tcPr>
          <w:p>
            <w:pPr>
              <w:pStyle w:val="2"/>
            </w:pPr>
            <w:r>
              <w:t>省级公益林管护面积</w:t>
            </w:r>
          </w:p>
        </w:tc>
        <w:tc>
          <w:tcPr>
            <w:tcW w:w="1276" w:type="dxa"/>
            <w:vAlign w:val="center"/>
          </w:tcPr>
          <w:p>
            <w:pPr>
              <w:pStyle w:val="2"/>
            </w:pPr>
            <w:r>
              <w:t>10万亩</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省级公益林护林员考核合格率</w:t>
            </w:r>
          </w:p>
        </w:tc>
        <w:tc>
          <w:tcPr>
            <w:tcW w:w="2891" w:type="dxa"/>
            <w:vAlign w:val="center"/>
          </w:tcPr>
          <w:p>
            <w:pPr>
              <w:pStyle w:val="2"/>
            </w:pPr>
            <w:r>
              <w:t>省级公益林护林员考核合格率</w:t>
            </w:r>
          </w:p>
        </w:tc>
        <w:tc>
          <w:tcPr>
            <w:tcW w:w="1276" w:type="dxa"/>
            <w:vAlign w:val="center"/>
          </w:tcPr>
          <w:p>
            <w:pPr>
              <w:pStyle w:val="2"/>
            </w:pPr>
            <w:r>
              <w:t>≥90%</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省级公益林当期任务完成率</w:t>
            </w:r>
          </w:p>
        </w:tc>
        <w:tc>
          <w:tcPr>
            <w:tcW w:w="2891" w:type="dxa"/>
            <w:vAlign w:val="center"/>
          </w:tcPr>
          <w:p>
            <w:pPr>
              <w:pStyle w:val="2"/>
            </w:pPr>
            <w:r>
              <w:t>省级公益林当期任务完成率</w:t>
            </w:r>
          </w:p>
        </w:tc>
        <w:tc>
          <w:tcPr>
            <w:tcW w:w="1276" w:type="dxa"/>
            <w:vAlign w:val="center"/>
          </w:tcPr>
          <w:p>
            <w:pPr>
              <w:pStyle w:val="2"/>
            </w:pPr>
            <w:r>
              <w:t>≥90%</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省级公益林经济补偿</w:t>
            </w:r>
          </w:p>
        </w:tc>
        <w:tc>
          <w:tcPr>
            <w:tcW w:w="2891" w:type="dxa"/>
            <w:vAlign w:val="center"/>
          </w:tcPr>
          <w:p>
            <w:pPr>
              <w:pStyle w:val="2"/>
            </w:pPr>
            <w:r>
              <w:t>省级公益林经济补偿</w:t>
            </w:r>
          </w:p>
        </w:tc>
        <w:tc>
          <w:tcPr>
            <w:tcW w:w="1276" w:type="dxa"/>
            <w:vAlign w:val="center"/>
          </w:tcPr>
          <w:p>
            <w:pPr>
              <w:pStyle w:val="2"/>
            </w:pPr>
            <w:r>
              <w:t>10元/亩</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生态效益指标</w:t>
            </w:r>
          </w:p>
        </w:tc>
        <w:tc>
          <w:tcPr>
            <w:tcW w:w="1332" w:type="dxa"/>
            <w:vAlign w:val="center"/>
          </w:tcPr>
          <w:p>
            <w:pPr>
              <w:pStyle w:val="2"/>
            </w:pPr>
            <w:r>
              <w:t>省级公益林对生态环境改善情况（是否明显）</w:t>
            </w:r>
          </w:p>
        </w:tc>
        <w:tc>
          <w:tcPr>
            <w:tcW w:w="2891" w:type="dxa"/>
            <w:vAlign w:val="center"/>
          </w:tcPr>
          <w:p>
            <w:pPr>
              <w:pStyle w:val="2"/>
            </w:pPr>
            <w:r>
              <w:t>省级公益林对生态环境改善情况（是否明显）</w:t>
            </w:r>
          </w:p>
        </w:tc>
        <w:tc>
          <w:tcPr>
            <w:tcW w:w="1276" w:type="dxa"/>
            <w:vAlign w:val="center"/>
          </w:tcPr>
          <w:p>
            <w:pPr>
              <w:pStyle w:val="2"/>
            </w:pPr>
            <w:r>
              <w:t>是</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省级公益林保障经济可持续发展（是否）</w:t>
            </w:r>
          </w:p>
        </w:tc>
        <w:tc>
          <w:tcPr>
            <w:tcW w:w="2891" w:type="dxa"/>
            <w:vAlign w:val="center"/>
          </w:tcPr>
          <w:p>
            <w:pPr>
              <w:pStyle w:val="2"/>
            </w:pPr>
            <w:r>
              <w:t>省级公益林保障经济可持续发展（是否）</w:t>
            </w:r>
          </w:p>
        </w:tc>
        <w:tc>
          <w:tcPr>
            <w:tcW w:w="1276" w:type="dxa"/>
            <w:vAlign w:val="center"/>
          </w:tcPr>
          <w:p>
            <w:pPr>
              <w:pStyle w:val="2"/>
            </w:pPr>
            <w:r>
              <w:t>是</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省级公益林管护员满意度</w:t>
            </w:r>
          </w:p>
        </w:tc>
        <w:tc>
          <w:tcPr>
            <w:tcW w:w="2891" w:type="dxa"/>
            <w:vAlign w:val="center"/>
          </w:tcPr>
          <w:p>
            <w:pPr>
              <w:pStyle w:val="2"/>
            </w:pPr>
            <w:r>
              <w:t>省级公益林管护员满意度</w:t>
            </w:r>
          </w:p>
        </w:tc>
        <w:tc>
          <w:tcPr>
            <w:tcW w:w="1276" w:type="dxa"/>
            <w:vAlign w:val="center"/>
          </w:tcPr>
          <w:p>
            <w:pPr>
              <w:pStyle w:val="2"/>
            </w:pPr>
            <w:r>
              <w:t>≥85%</w:t>
            </w:r>
          </w:p>
        </w:tc>
        <w:tc>
          <w:tcPr>
            <w:tcW w:w="1843" w:type="dxa"/>
            <w:vAlign w:val="center"/>
          </w:tcPr>
          <w:p>
            <w:pPr>
              <w:pStyle w:val="2"/>
            </w:pPr>
            <w:r>
              <w:t>河北省林业改革发展资金使用管理和绩效管理实施细则</w:t>
            </w:r>
          </w:p>
        </w:tc>
      </w:tr>
    </w:tbl>
    <w:p>
      <w:pPr>
        <w:sectPr>
          <w:pgSz w:w="11900" w:h="16840"/>
          <w:pgMar w:top="1984" w:right="1304" w:bottom="1134" w:left="1304" w:header="720" w:footer="720" w:gutter="0"/>
          <w:cols w:num="1" w:space="720"/>
        </w:sectPr>
      </w:pPr>
    </w:p>
    <w:p>
      <w:pPr>
        <w:jc w:val="center"/>
      </w:pPr>
    </w:p>
    <w:p>
      <w:pPr>
        <w:ind w:firstLine="560"/>
        <w:outlineLvl w:val="3"/>
      </w:pPr>
      <w:bookmarkStart w:id="11" w:name="_Toc_4_4_0000000011"/>
      <w:r>
        <w:rPr>
          <w:rFonts w:ascii="方正仿宋_GBK" w:eastAsia="方正仿宋_GBK" w:hAnsi="方正仿宋_GBK" w:cs="方正仿宋_GBK" w:hint="eastAsia"/>
          <w:color w:val="000000"/>
          <w:sz w:val="28"/>
        </w:rPr>
        <w:t>15</w:t>
      </w:r>
      <w:r>
        <w:rPr>
          <w:rFonts w:ascii="方正仿宋_GBK" w:eastAsia="方正仿宋_GBK" w:hAnsi="方正仿宋_GBK" w:cs="方正仿宋_GBK"/>
          <w:color w:val="000000"/>
          <w:sz w:val="28"/>
        </w:rPr>
        <w:t>.2022年天然林停伐管护补助绩效目标表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327001宽城满族自治县林业和草原局本级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13082722P00522410006U</w:t>
            </w:r>
          </w:p>
        </w:tc>
        <w:tc>
          <w:tcPr>
            <w:tcW w:w="1587" w:type="dxa"/>
            <w:vAlign w:val="center"/>
          </w:tcPr>
          <w:p>
            <w:pPr>
              <w:pStyle w:val="1"/>
            </w:pPr>
            <w:r>
              <w:t>项目名称</w:t>
            </w:r>
          </w:p>
        </w:tc>
        <w:tc>
          <w:tcPr>
            <w:tcW w:w="4422" w:type="dxa"/>
            <w:gridSpan w:val="3"/>
            <w:vAlign w:val="center"/>
          </w:tcPr>
          <w:p>
            <w:pPr>
              <w:pStyle w:val="2"/>
            </w:pPr>
            <w:r>
              <w:t>2022年天然林停伐管护补助</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322.45</w:t>
            </w:r>
          </w:p>
        </w:tc>
        <w:tc>
          <w:tcPr>
            <w:tcW w:w="1587" w:type="dxa"/>
            <w:vAlign w:val="center"/>
          </w:tcPr>
          <w:p>
            <w:pPr>
              <w:pStyle w:val="1"/>
            </w:pPr>
            <w:r>
              <w:t>其中：财政    资金</w:t>
            </w:r>
          </w:p>
        </w:tc>
        <w:tc>
          <w:tcPr>
            <w:tcW w:w="1304" w:type="dxa"/>
            <w:vAlign w:val="center"/>
          </w:tcPr>
          <w:p>
            <w:pPr>
              <w:pStyle w:val="2"/>
            </w:pPr>
            <w:r>
              <w:t>322.45</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停止天然林商品性采伐，天然林得到保护</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1.停止天然林商品性采伐，天然林得到保护</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天然林停伐管护面积</w:t>
            </w:r>
          </w:p>
        </w:tc>
        <w:tc>
          <w:tcPr>
            <w:tcW w:w="2891" w:type="dxa"/>
            <w:vAlign w:val="center"/>
          </w:tcPr>
          <w:p>
            <w:pPr>
              <w:pStyle w:val="2"/>
            </w:pPr>
            <w:r>
              <w:t>天然林停伐管护面积</w:t>
            </w:r>
          </w:p>
        </w:tc>
        <w:tc>
          <w:tcPr>
            <w:tcW w:w="1276" w:type="dxa"/>
            <w:vAlign w:val="center"/>
          </w:tcPr>
          <w:p>
            <w:pPr>
              <w:pStyle w:val="2"/>
            </w:pPr>
            <w:r>
              <w:t>28.84万亩</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天然林护林员考核合格率</w:t>
            </w:r>
          </w:p>
        </w:tc>
        <w:tc>
          <w:tcPr>
            <w:tcW w:w="2891" w:type="dxa"/>
            <w:vAlign w:val="center"/>
          </w:tcPr>
          <w:p>
            <w:pPr>
              <w:pStyle w:val="2"/>
            </w:pPr>
            <w:r>
              <w:t>天然林护林员考核合格率</w:t>
            </w:r>
          </w:p>
        </w:tc>
        <w:tc>
          <w:tcPr>
            <w:tcW w:w="1276" w:type="dxa"/>
            <w:vAlign w:val="center"/>
          </w:tcPr>
          <w:p>
            <w:pPr>
              <w:pStyle w:val="2"/>
            </w:pPr>
            <w:r>
              <w:t>≥90%</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天然林当期任务完成率</w:t>
            </w:r>
          </w:p>
        </w:tc>
        <w:tc>
          <w:tcPr>
            <w:tcW w:w="2891" w:type="dxa"/>
            <w:vAlign w:val="center"/>
          </w:tcPr>
          <w:p>
            <w:pPr>
              <w:pStyle w:val="2"/>
            </w:pPr>
            <w:r>
              <w:t>天然林当期任务完成率</w:t>
            </w:r>
          </w:p>
        </w:tc>
        <w:tc>
          <w:tcPr>
            <w:tcW w:w="1276" w:type="dxa"/>
            <w:vAlign w:val="center"/>
          </w:tcPr>
          <w:p>
            <w:pPr>
              <w:pStyle w:val="2"/>
            </w:pPr>
            <w:r>
              <w:t>≥90%</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天然林经济补偿</w:t>
            </w:r>
          </w:p>
        </w:tc>
        <w:tc>
          <w:tcPr>
            <w:tcW w:w="2891" w:type="dxa"/>
            <w:vAlign w:val="center"/>
          </w:tcPr>
          <w:p>
            <w:pPr>
              <w:pStyle w:val="2"/>
            </w:pPr>
            <w:r>
              <w:t>天然林经济补偿</w:t>
            </w:r>
          </w:p>
        </w:tc>
        <w:tc>
          <w:tcPr>
            <w:tcW w:w="1276" w:type="dxa"/>
            <w:vAlign w:val="center"/>
          </w:tcPr>
          <w:p>
            <w:pPr>
              <w:pStyle w:val="2"/>
            </w:pPr>
            <w:r>
              <w:t>10元/亩</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生态效益指标</w:t>
            </w:r>
          </w:p>
        </w:tc>
        <w:tc>
          <w:tcPr>
            <w:tcW w:w="1332" w:type="dxa"/>
            <w:vAlign w:val="center"/>
          </w:tcPr>
          <w:p>
            <w:pPr>
              <w:pStyle w:val="2"/>
            </w:pPr>
            <w:r>
              <w:t>天然林对生态环境改善情况（是否明显）</w:t>
            </w:r>
          </w:p>
        </w:tc>
        <w:tc>
          <w:tcPr>
            <w:tcW w:w="2891" w:type="dxa"/>
            <w:vAlign w:val="center"/>
          </w:tcPr>
          <w:p>
            <w:pPr>
              <w:pStyle w:val="2"/>
            </w:pPr>
            <w:r>
              <w:t>天然林对生态环境改善情况（是否明显）</w:t>
            </w:r>
          </w:p>
        </w:tc>
        <w:tc>
          <w:tcPr>
            <w:tcW w:w="1276" w:type="dxa"/>
            <w:vAlign w:val="center"/>
          </w:tcPr>
          <w:p>
            <w:pPr>
              <w:pStyle w:val="2"/>
            </w:pPr>
            <w:r>
              <w:t>是</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天然林保障经济可持续发展（是否）</w:t>
            </w:r>
          </w:p>
        </w:tc>
        <w:tc>
          <w:tcPr>
            <w:tcW w:w="2891" w:type="dxa"/>
            <w:vAlign w:val="center"/>
          </w:tcPr>
          <w:p>
            <w:pPr>
              <w:pStyle w:val="2"/>
            </w:pPr>
            <w:r>
              <w:t>天然林保障经济可持续发展（是否）</w:t>
            </w:r>
          </w:p>
        </w:tc>
        <w:tc>
          <w:tcPr>
            <w:tcW w:w="1276" w:type="dxa"/>
            <w:vAlign w:val="center"/>
          </w:tcPr>
          <w:p>
            <w:pPr>
              <w:pStyle w:val="2"/>
            </w:pPr>
            <w:r>
              <w:t>是</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天然林护林员满意度</w:t>
            </w:r>
          </w:p>
        </w:tc>
        <w:tc>
          <w:tcPr>
            <w:tcW w:w="2891" w:type="dxa"/>
            <w:vAlign w:val="center"/>
          </w:tcPr>
          <w:p>
            <w:pPr>
              <w:pStyle w:val="2"/>
            </w:pPr>
            <w:r>
              <w:t>天然林护林员满意度</w:t>
            </w:r>
          </w:p>
        </w:tc>
        <w:tc>
          <w:tcPr>
            <w:tcW w:w="1276" w:type="dxa"/>
            <w:vAlign w:val="center"/>
          </w:tcPr>
          <w:p>
            <w:pPr>
              <w:pStyle w:val="2"/>
            </w:pPr>
            <w:r>
              <w:t>≥85%</w:t>
            </w:r>
          </w:p>
        </w:tc>
        <w:tc>
          <w:tcPr>
            <w:tcW w:w="1843" w:type="dxa"/>
            <w:vAlign w:val="center"/>
          </w:tcPr>
          <w:p>
            <w:pPr>
              <w:pStyle w:val="2"/>
            </w:pPr>
            <w:r>
              <w:t>河北省林业改革发展资金使用管理和绩效管理实施细则</w:t>
            </w:r>
          </w:p>
        </w:tc>
      </w:tr>
    </w:tbl>
    <w:p>
      <w:pPr>
        <w:sectPr>
          <w:pgSz w:w="11900" w:h="16840"/>
          <w:pgMar w:top="1984" w:right="1304" w:bottom="1134" w:left="1304" w:header="720" w:footer="720" w:gutter="0"/>
          <w:cols w:num="1" w:space="720"/>
        </w:sectPr>
      </w:pPr>
    </w:p>
    <w:p>
      <w:pPr>
        <w:jc w:val="center"/>
      </w:pPr>
    </w:p>
    <w:p>
      <w:pPr>
        <w:ind w:firstLine="560"/>
        <w:outlineLvl w:val="3"/>
      </w:pPr>
      <w:bookmarkStart w:id="12" w:name="_Toc_4_4_0000000012"/>
      <w:r>
        <w:rPr>
          <w:rFonts w:ascii="方正仿宋_GBK" w:eastAsia="方正仿宋_GBK" w:hAnsi="方正仿宋_GBK" w:cs="方正仿宋_GBK" w:hint="eastAsia"/>
          <w:color w:val="000000"/>
          <w:sz w:val="28"/>
        </w:rPr>
        <w:t>16</w:t>
      </w:r>
      <w:r>
        <w:rPr>
          <w:rFonts w:ascii="方正仿宋_GBK" w:eastAsia="方正仿宋_GBK" w:hAnsi="方正仿宋_GBK" w:cs="方正仿宋_GBK"/>
          <w:color w:val="000000"/>
          <w:sz w:val="28"/>
        </w:rPr>
        <w:t>.2022年中央森林生态效益补偿补助绩效目标表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327001宽城满族自治县林业和草原局本级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13082722P005224100058</w:t>
            </w:r>
          </w:p>
        </w:tc>
        <w:tc>
          <w:tcPr>
            <w:tcW w:w="1587" w:type="dxa"/>
            <w:vAlign w:val="center"/>
          </w:tcPr>
          <w:p>
            <w:pPr>
              <w:pStyle w:val="1"/>
            </w:pPr>
            <w:r>
              <w:t>项目名称</w:t>
            </w:r>
          </w:p>
        </w:tc>
        <w:tc>
          <w:tcPr>
            <w:tcW w:w="4422" w:type="dxa"/>
            <w:gridSpan w:val="3"/>
            <w:vAlign w:val="center"/>
          </w:tcPr>
          <w:p>
            <w:pPr>
              <w:pStyle w:val="2"/>
            </w:pPr>
            <w:r>
              <w:t>2022年中央森林生态效益补偿补助</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1076.96</w:t>
            </w:r>
          </w:p>
        </w:tc>
        <w:tc>
          <w:tcPr>
            <w:tcW w:w="1587" w:type="dxa"/>
            <w:vAlign w:val="center"/>
          </w:tcPr>
          <w:p>
            <w:pPr>
              <w:pStyle w:val="1"/>
            </w:pPr>
            <w:r>
              <w:t>其中：财政    资金</w:t>
            </w:r>
          </w:p>
        </w:tc>
        <w:tc>
          <w:tcPr>
            <w:tcW w:w="1304" w:type="dxa"/>
            <w:vAlign w:val="center"/>
          </w:tcPr>
          <w:p>
            <w:pPr>
              <w:pStyle w:val="2"/>
            </w:pPr>
            <w:r>
              <w:t>1076.96</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中央森林生态效益补偿</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1.目标内容1</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国家级公益林管护面积</w:t>
            </w:r>
          </w:p>
        </w:tc>
        <w:tc>
          <w:tcPr>
            <w:tcW w:w="2891" w:type="dxa"/>
            <w:vAlign w:val="center"/>
          </w:tcPr>
          <w:p>
            <w:pPr>
              <w:pStyle w:val="2"/>
            </w:pPr>
            <w:r>
              <w:t>国家级公益林管护面积</w:t>
            </w:r>
          </w:p>
        </w:tc>
        <w:tc>
          <w:tcPr>
            <w:tcW w:w="1276" w:type="dxa"/>
            <w:vAlign w:val="center"/>
          </w:tcPr>
          <w:p>
            <w:pPr>
              <w:pStyle w:val="2"/>
            </w:pPr>
            <w:r>
              <w:t>73.89万亩</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国家级公益林护林员考核合格率</w:t>
            </w:r>
          </w:p>
        </w:tc>
        <w:tc>
          <w:tcPr>
            <w:tcW w:w="2891" w:type="dxa"/>
            <w:vAlign w:val="center"/>
          </w:tcPr>
          <w:p>
            <w:pPr>
              <w:pStyle w:val="2"/>
            </w:pPr>
            <w:r>
              <w:t>国家级公益林护林员考核合格率</w:t>
            </w:r>
          </w:p>
        </w:tc>
        <w:tc>
          <w:tcPr>
            <w:tcW w:w="1276" w:type="dxa"/>
            <w:vAlign w:val="center"/>
          </w:tcPr>
          <w:p>
            <w:pPr>
              <w:pStyle w:val="2"/>
            </w:pPr>
            <w:r>
              <w:t>≥90%</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国家级公益林当期任务完成率</w:t>
            </w:r>
          </w:p>
        </w:tc>
        <w:tc>
          <w:tcPr>
            <w:tcW w:w="2891" w:type="dxa"/>
            <w:vAlign w:val="center"/>
          </w:tcPr>
          <w:p>
            <w:pPr>
              <w:pStyle w:val="2"/>
            </w:pPr>
            <w:r>
              <w:t>国家级公益林当期任务完成率</w:t>
            </w:r>
          </w:p>
        </w:tc>
        <w:tc>
          <w:tcPr>
            <w:tcW w:w="1276" w:type="dxa"/>
            <w:vAlign w:val="center"/>
          </w:tcPr>
          <w:p>
            <w:pPr>
              <w:pStyle w:val="2"/>
            </w:pPr>
            <w:r>
              <w:t>≥90%</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国家级公益林经济补偿</w:t>
            </w:r>
          </w:p>
        </w:tc>
        <w:tc>
          <w:tcPr>
            <w:tcW w:w="2891" w:type="dxa"/>
            <w:vAlign w:val="center"/>
          </w:tcPr>
          <w:p>
            <w:pPr>
              <w:pStyle w:val="2"/>
            </w:pPr>
            <w:r>
              <w:t>国家级公益林经济补偿</w:t>
            </w:r>
          </w:p>
        </w:tc>
        <w:tc>
          <w:tcPr>
            <w:tcW w:w="1276" w:type="dxa"/>
            <w:vAlign w:val="center"/>
          </w:tcPr>
          <w:p>
            <w:pPr>
              <w:pStyle w:val="2"/>
            </w:pPr>
            <w:r>
              <w:t>10元/亩</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生态效益指标</w:t>
            </w:r>
          </w:p>
        </w:tc>
        <w:tc>
          <w:tcPr>
            <w:tcW w:w="1332" w:type="dxa"/>
            <w:vAlign w:val="center"/>
          </w:tcPr>
          <w:p>
            <w:pPr>
              <w:pStyle w:val="2"/>
            </w:pPr>
            <w:r>
              <w:t>国家级公益林对生态环境改善情况（是否明显）</w:t>
            </w:r>
          </w:p>
        </w:tc>
        <w:tc>
          <w:tcPr>
            <w:tcW w:w="2891" w:type="dxa"/>
            <w:vAlign w:val="center"/>
          </w:tcPr>
          <w:p>
            <w:pPr>
              <w:pStyle w:val="2"/>
            </w:pPr>
            <w:r>
              <w:t>国家级公益林对生态环境改善情况（是否明显）</w:t>
            </w:r>
          </w:p>
        </w:tc>
        <w:tc>
          <w:tcPr>
            <w:tcW w:w="1276" w:type="dxa"/>
            <w:vAlign w:val="center"/>
          </w:tcPr>
          <w:p>
            <w:pPr>
              <w:pStyle w:val="2"/>
            </w:pPr>
            <w:r>
              <w:t>是</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国家级公益林保障经济可持续发展（是否）</w:t>
            </w:r>
          </w:p>
        </w:tc>
        <w:tc>
          <w:tcPr>
            <w:tcW w:w="2891" w:type="dxa"/>
            <w:vAlign w:val="center"/>
          </w:tcPr>
          <w:p>
            <w:pPr>
              <w:pStyle w:val="2"/>
            </w:pPr>
            <w:r>
              <w:t>国家级公益林保障经济可持续发展（是否）</w:t>
            </w:r>
          </w:p>
        </w:tc>
        <w:tc>
          <w:tcPr>
            <w:tcW w:w="1276" w:type="dxa"/>
            <w:vAlign w:val="center"/>
          </w:tcPr>
          <w:p>
            <w:pPr>
              <w:pStyle w:val="2"/>
            </w:pPr>
            <w:r>
              <w:t>是</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国家级公益林管护员满意度</w:t>
            </w:r>
          </w:p>
        </w:tc>
        <w:tc>
          <w:tcPr>
            <w:tcW w:w="2891" w:type="dxa"/>
            <w:vAlign w:val="center"/>
          </w:tcPr>
          <w:p>
            <w:pPr>
              <w:pStyle w:val="2"/>
            </w:pPr>
            <w:r>
              <w:t>国家级公益林管护员满意度</w:t>
            </w:r>
          </w:p>
        </w:tc>
        <w:tc>
          <w:tcPr>
            <w:tcW w:w="1276" w:type="dxa"/>
            <w:vAlign w:val="center"/>
          </w:tcPr>
          <w:p>
            <w:pPr>
              <w:pStyle w:val="2"/>
            </w:pPr>
            <w:r>
              <w:t>≥85%</w:t>
            </w:r>
          </w:p>
        </w:tc>
        <w:tc>
          <w:tcPr>
            <w:tcW w:w="1843" w:type="dxa"/>
            <w:vAlign w:val="center"/>
          </w:tcPr>
          <w:p>
            <w:pPr>
              <w:pStyle w:val="2"/>
            </w:pPr>
            <w:r>
              <w:t>河北省林业改革发展资金使用管理和绩效管理实施细则</w:t>
            </w:r>
          </w:p>
        </w:tc>
      </w:tr>
    </w:tbl>
    <w:p>
      <w:pPr>
        <w:sectPr>
          <w:pgSz w:w="11900" w:h="16840"/>
          <w:pgMar w:top="1984" w:right="1304" w:bottom="1134" w:left="1304" w:header="720" w:footer="720" w:gutter="0"/>
          <w:cols w:num="1" w:space="720"/>
        </w:sectPr>
      </w:pPr>
    </w:p>
    <w:p>
      <w:pPr>
        <w:jc w:val="center"/>
      </w:pPr>
    </w:p>
    <w:p>
      <w:pPr>
        <w:ind w:firstLine="560"/>
        <w:outlineLvl w:val="3"/>
      </w:pPr>
      <w:bookmarkStart w:id="13" w:name="_Toc_4_4_0000000013"/>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7.</w:t>
      </w:r>
      <w:r>
        <w:rPr>
          <w:rFonts w:ascii="方正仿宋_GBK" w:eastAsia="方正仿宋_GBK" w:hAnsi="方正仿宋_GBK" w:cs="方正仿宋_GBK"/>
          <w:color w:val="000000"/>
          <w:sz w:val="28"/>
        </w:rPr>
        <w:t>2022造林绿化重点工程奖补绩效目标表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327001宽城满族自治县林业和草原局本级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13082722P00522510003N</w:t>
            </w:r>
          </w:p>
        </w:tc>
        <w:tc>
          <w:tcPr>
            <w:tcW w:w="1587" w:type="dxa"/>
            <w:vAlign w:val="center"/>
          </w:tcPr>
          <w:p>
            <w:pPr>
              <w:pStyle w:val="1"/>
            </w:pPr>
            <w:r>
              <w:t>项目名称</w:t>
            </w:r>
          </w:p>
        </w:tc>
        <w:tc>
          <w:tcPr>
            <w:tcW w:w="4422" w:type="dxa"/>
            <w:gridSpan w:val="3"/>
            <w:vAlign w:val="center"/>
          </w:tcPr>
          <w:p>
            <w:pPr>
              <w:pStyle w:val="2"/>
            </w:pPr>
            <w:r>
              <w:t>2022造林绿化重点工程奖补</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100.00</w:t>
            </w:r>
          </w:p>
        </w:tc>
        <w:tc>
          <w:tcPr>
            <w:tcW w:w="1587" w:type="dxa"/>
            <w:vAlign w:val="center"/>
          </w:tcPr>
          <w:p>
            <w:pPr>
              <w:pStyle w:val="1"/>
            </w:pPr>
            <w:r>
              <w:t>其中：财政    资金</w:t>
            </w:r>
          </w:p>
        </w:tc>
        <w:tc>
          <w:tcPr>
            <w:tcW w:w="1304" w:type="dxa"/>
            <w:vAlign w:val="center"/>
          </w:tcPr>
          <w:p>
            <w:pPr>
              <w:pStyle w:val="2"/>
            </w:pPr>
            <w:r>
              <w:t>100.00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森林城市创建成果得到巩固</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1.增加森林面积，推进森林城市创建</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森林面积是否增加</w:t>
            </w:r>
          </w:p>
        </w:tc>
        <w:tc>
          <w:tcPr>
            <w:tcW w:w="2891" w:type="dxa"/>
            <w:vAlign w:val="center"/>
          </w:tcPr>
          <w:p>
            <w:pPr>
              <w:pStyle w:val="2"/>
            </w:pPr>
            <w:r>
              <w:t>森林面积是否增加</w:t>
            </w:r>
          </w:p>
        </w:tc>
        <w:tc>
          <w:tcPr>
            <w:tcW w:w="1276" w:type="dxa"/>
            <w:vAlign w:val="center"/>
          </w:tcPr>
          <w:p>
            <w:pPr>
              <w:pStyle w:val="2"/>
            </w:pPr>
            <w:r>
              <w:t>是</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造林成活率</w:t>
            </w:r>
          </w:p>
        </w:tc>
        <w:tc>
          <w:tcPr>
            <w:tcW w:w="2891" w:type="dxa"/>
            <w:vAlign w:val="center"/>
          </w:tcPr>
          <w:p>
            <w:pPr>
              <w:pStyle w:val="2"/>
            </w:pPr>
            <w:r>
              <w:t>造林成活率</w:t>
            </w:r>
          </w:p>
        </w:tc>
        <w:tc>
          <w:tcPr>
            <w:tcW w:w="1276" w:type="dxa"/>
            <w:vAlign w:val="center"/>
          </w:tcPr>
          <w:p>
            <w:pPr>
              <w:pStyle w:val="2"/>
            </w:pPr>
            <w:r>
              <w:t>≥85%</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任务当期完成率</w:t>
            </w:r>
          </w:p>
        </w:tc>
        <w:tc>
          <w:tcPr>
            <w:tcW w:w="2891" w:type="dxa"/>
            <w:vAlign w:val="center"/>
          </w:tcPr>
          <w:p>
            <w:pPr>
              <w:pStyle w:val="2"/>
            </w:pPr>
            <w:r>
              <w:t>任务当期完成率</w:t>
            </w:r>
          </w:p>
        </w:tc>
        <w:tc>
          <w:tcPr>
            <w:tcW w:w="1276" w:type="dxa"/>
            <w:vAlign w:val="center"/>
          </w:tcPr>
          <w:p>
            <w:pPr>
              <w:pStyle w:val="2"/>
            </w:pPr>
            <w:r>
              <w:t>≥80%</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创建森林城市奖补金额</w:t>
            </w:r>
          </w:p>
        </w:tc>
        <w:tc>
          <w:tcPr>
            <w:tcW w:w="2891" w:type="dxa"/>
            <w:vAlign w:val="center"/>
          </w:tcPr>
          <w:p>
            <w:pPr>
              <w:pStyle w:val="2"/>
            </w:pPr>
            <w:r>
              <w:t>创建森林城市奖补金额</w:t>
            </w:r>
          </w:p>
        </w:tc>
        <w:tc>
          <w:tcPr>
            <w:tcW w:w="1276" w:type="dxa"/>
            <w:vAlign w:val="center"/>
          </w:tcPr>
          <w:p>
            <w:pPr>
              <w:pStyle w:val="2"/>
            </w:pPr>
            <w:r>
              <w:t>≤100万元</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生态效益指标</w:t>
            </w:r>
          </w:p>
        </w:tc>
        <w:tc>
          <w:tcPr>
            <w:tcW w:w="1332" w:type="dxa"/>
            <w:vAlign w:val="center"/>
          </w:tcPr>
          <w:p>
            <w:pPr>
              <w:pStyle w:val="2"/>
            </w:pPr>
            <w:r>
              <w:t>创建森林城市成果是否得到巩固</w:t>
            </w:r>
          </w:p>
        </w:tc>
        <w:tc>
          <w:tcPr>
            <w:tcW w:w="2891" w:type="dxa"/>
            <w:vAlign w:val="center"/>
          </w:tcPr>
          <w:p>
            <w:pPr>
              <w:pStyle w:val="2"/>
            </w:pPr>
            <w:r>
              <w:t>创建森林城市成果是否得到巩固</w:t>
            </w:r>
          </w:p>
        </w:tc>
        <w:tc>
          <w:tcPr>
            <w:tcW w:w="1276" w:type="dxa"/>
            <w:vAlign w:val="center"/>
          </w:tcPr>
          <w:p>
            <w:pPr>
              <w:pStyle w:val="2"/>
            </w:pPr>
            <w:r>
              <w:t>是</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群众创建森林城市意识是否增强</w:t>
            </w:r>
          </w:p>
        </w:tc>
        <w:tc>
          <w:tcPr>
            <w:tcW w:w="2891" w:type="dxa"/>
            <w:vAlign w:val="center"/>
          </w:tcPr>
          <w:p>
            <w:pPr>
              <w:pStyle w:val="2"/>
            </w:pPr>
            <w:r>
              <w:t>群众创建森林城市意识是否增强</w:t>
            </w:r>
          </w:p>
        </w:tc>
        <w:tc>
          <w:tcPr>
            <w:tcW w:w="1276" w:type="dxa"/>
            <w:vAlign w:val="center"/>
          </w:tcPr>
          <w:p>
            <w:pPr>
              <w:pStyle w:val="2"/>
            </w:pPr>
            <w:r>
              <w:t>是</w:t>
            </w:r>
          </w:p>
        </w:tc>
        <w:tc>
          <w:tcPr>
            <w:tcW w:w="1843" w:type="dxa"/>
            <w:vAlign w:val="center"/>
          </w:tcPr>
          <w:p>
            <w:pPr>
              <w:pStyle w:val="2"/>
            </w:pPr>
            <w:r>
              <w:t>河北省林业改革发展资金使用管理和绩效管理实施细则</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参与人员满意度</w:t>
            </w:r>
          </w:p>
        </w:tc>
        <w:tc>
          <w:tcPr>
            <w:tcW w:w="2891" w:type="dxa"/>
            <w:vAlign w:val="center"/>
          </w:tcPr>
          <w:p>
            <w:pPr>
              <w:pStyle w:val="2"/>
            </w:pPr>
            <w:r>
              <w:t>参与人员满意度</w:t>
            </w:r>
          </w:p>
        </w:tc>
        <w:tc>
          <w:tcPr>
            <w:tcW w:w="1276" w:type="dxa"/>
            <w:vAlign w:val="center"/>
          </w:tcPr>
          <w:p>
            <w:pPr>
              <w:pStyle w:val="2"/>
            </w:pPr>
            <w:r>
              <w:t>≥85%</w:t>
            </w:r>
          </w:p>
        </w:tc>
        <w:tc>
          <w:tcPr>
            <w:tcW w:w="1843" w:type="dxa"/>
            <w:vAlign w:val="center"/>
          </w:tcPr>
          <w:p>
            <w:pPr>
              <w:pStyle w:val="2"/>
            </w:pPr>
            <w:r>
              <w:t>河北省林业改革发展资金使用管理和绩效管理实施细则</w:t>
            </w:r>
          </w:p>
        </w:tc>
      </w:tr>
    </w:tbl>
    <w:p>
      <w:pPr>
        <w:sectPr>
          <w:pgSz w:w="11900" w:h="16840"/>
          <w:pgMar w:top="1984" w:right="1304" w:bottom="1134" w:left="1304" w:header="720" w:footer="720" w:gutter="0"/>
          <w:cols w:num="1" w:space="720"/>
        </w:sectPr>
      </w:pPr>
    </w:p>
    <w:p>
      <w:pPr>
        <w:jc w:val="center"/>
      </w:pPr>
    </w:p>
    <w:p>
      <w:pPr>
        <w:ind w:firstLine="560"/>
        <w:outlineLvl w:val="3"/>
      </w:pPr>
      <w:bookmarkStart w:id="14" w:name="_Toc_4_4_0000000014"/>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8.</w:t>
      </w:r>
      <w:r>
        <w:rPr>
          <w:rFonts w:ascii="方正仿宋_GBK" w:eastAsia="方正仿宋_GBK" w:hAnsi="方正仿宋_GBK" w:cs="方正仿宋_GBK"/>
          <w:color w:val="000000"/>
          <w:sz w:val="28"/>
        </w:rPr>
        <w:t>草原生态修复治理补助-有害生物防治绩效目标表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327001宽城满族自治县林业和草原局本级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13082722P00522310003B</w:t>
            </w:r>
          </w:p>
        </w:tc>
        <w:tc>
          <w:tcPr>
            <w:tcW w:w="1587" w:type="dxa"/>
            <w:vAlign w:val="center"/>
          </w:tcPr>
          <w:p>
            <w:pPr>
              <w:pStyle w:val="1"/>
            </w:pPr>
            <w:r>
              <w:t>项目名称</w:t>
            </w:r>
          </w:p>
        </w:tc>
        <w:tc>
          <w:tcPr>
            <w:tcW w:w="4422" w:type="dxa"/>
            <w:gridSpan w:val="3"/>
            <w:vAlign w:val="center"/>
          </w:tcPr>
          <w:p>
            <w:pPr>
              <w:pStyle w:val="2"/>
            </w:pPr>
            <w:r>
              <w:t>草原生态修复治理补助-有害生物防治</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15.00</w:t>
            </w:r>
          </w:p>
        </w:tc>
        <w:tc>
          <w:tcPr>
            <w:tcW w:w="1587" w:type="dxa"/>
            <w:vAlign w:val="center"/>
          </w:tcPr>
          <w:p>
            <w:pPr>
              <w:pStyle w:val="1"/>
            </w:pPr>
            <w:r>
              <w:t>其中：财政    资金</w:t>
            </w:r>
          </w:p>
        </w:tc>
        <w:tc>
          <w:tcPr>
            <w:tcW w:w="1304" w:type="dxa"/>
            <w:vAlign w:val="center"/>
          </w:tcPr>
          <w:p>
            <w:pPr>
              <w:pStyle w:val="2"/>
            </w:pPr>
            <w:r>
              <w:t>15.00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草原鼠虫害常规监测，草原有害生物防治</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1.完成草原鼠虫害常规监测，草原虫害防治</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草原有害生物防治面积</w:t>
            </w:r>
          </w:p>
        </w:tc>
        <w:tc>
          <w:tcPr>
            <w:tcW w:w="2891" w:type="dxa"/>
            <w:vAlign w:val="center"/>
          </w:tcPr>
          <w:p>
            <w:pPr>
              <w:pStyle w:val="2"/>
            </w:pPr>
            <w:r>
              <w:t>草原有害生物防治面积</w:t>
            </w:r>
          </w:p>
        </w:tc>
        <w:tc>
          <w:tcPr>
            <w:tcW w:w="1276" w:type="dxa"/>
            <w:vAlign w:val="center"/>
          </w:tcPr>
          <w:p>
            <w:pPr>
              <w:pStyle w:val="2"/>
            </w:pPr>
            <w:r>
              <w:t>5万亩</w:t>
            </w:r>
          </w:p>
        </w:tc>
        <w:tc>
          <w:tcPr>
            <w:tcW w:w="1843" w:type="dxa"/>
            <w:vAlign w:val="center"/>
          </w:tcPr>
          <w:p>
            <w:pPr>
              <w:pStyle w:val="2"/>
            </w:pPr>
            <w:r>
              <w:t>根据发生情况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防治后蝗虫平均密度</w:t>
            </w:r>
          </w:p>
        </w:tc>
        <w:tc>
          <w:tcPr>
            <w:tcW w:w="2891" w:type="dxa"/>
            <w:vAlign w:val="center"/>
          </w:tcPr>
          <w:p>
            <w:pPr>
              <w:pStyle w:val="2"/>
            </w:pPr>
            <w:r>
              <w:t>防治后蝗虫平均密度</w:t>
            </w:r>
          </w:p>
        </w:tc>
        <w:tc>
          <w:tcPr>
            <w:tcW w:w="1276" w:type="dxa"/>
            <w:vAlign w:val="center"/>
          </w:tcPr>
          <w:p>
            <w:pPr>
              <w:pStyle w:val="2"/>
            </w:pPr>
            <w:r>
              <w:t>≤5头/平方米</w:t>
            </w:r>
          </w:p>
        </w:tc>
        <w:tc>
          <w:tcPr>
            <w:tcW w:w="1843" w:type="dxa"/>
            <w:vAlign w:val="center"/>
          </w:tcPr>
          <w:p>
            <w:pPr>
              <w:pStyle w:val="2"/>
            </w:pPr>
            <w:r>
              <w:t>根据发生情况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防治任务完成率</w:t>
            </w:r>
          </w:p>
        </w:tc>
        <w:tc>
          <w:tcPr>
            <w:tcW w:w="2891" w:type="dxa"/>
            <w:vAlign w:val="center"/>
          </w:tcPr>
          <w:p>
            <w:pPr>
              <w:pStyle w:val="2"/>
            </w:pPr>
            <w:r>
              <w:t>防治任务完成率</w:t>
            </w:r>
          </w:p>
        </w:tc>
        <w:tc>
          <w:tcPr>
            <w:tcW w:w="1276" w:type="dxa"/>
            <w:vAlign w:val="center"/>
          </w:tcPr>
          <w:p>
            <w:pPr>
              <w:pStyle w:val="2"/>
            </w:pPr>
            <w:r>
              <w:t>≥90%</w:t>
            </w:r>
          </w:p>
        </w:tc>
        <w:tc>
          <w:tcPr>
            <w:tcW w:w="1843" w:type="dxa"/>
            <w:vAlign w:val="center"/>
          </w:tcPr>
          <w:p>
            <w:pPr>
              <w:pStyle w:val="2"/>
            </w:pPr>
            <w:r>
              <w:t>根据防治情况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每亩防治费用</w:t>
            </w:r>
          </w:p>
        </w:tc>
        <w:tc>
          <w:tcPr>
            <w:tcW w:w="2891" w:type="dxa"/>
            <w:vAlign w:val="center"/>
          </w:tcPr>
          <w:p>
            <w:pPr>
              <w:pStyle w:val="2"/>
            </w:pPr>
            <w:r>
              <w:t>每亩防治费用</w:t>
            </w:r>
          </w:p>
        </w:tc>
        <w:tc>
          <w:tcPr>
            <w:tcW w:w="1276" w:type="dxa"/>
            <w:vAlign w:val="center"/>
          </w:tcPr>
          <w:p>
            <w:pPr>
              <w:pStyle w:val="2"/>
            </w:pPr>
            <w:r>
              <w:t>≤3元</w:t>
            </w:r>
          </w:p>
        </w:tc>
        <w:tc>
          <w:tcPr>
            <w:tcW w:w="1843" w:type="dxa"/>
            <w:vAlign w:val="center"/>
          </w:tcPr>
          <w:p>
            <w:pPr>
              <w:pStyle w:val="2"/>
            </w:pPr>
            <w:r>
              <w:t>根据防治情况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生态效益指标</w:t>
            </w:r>
          </w:p>
        </w:tc>
        <w:tc>
          <w:tcPr>
            <w:tcW w:w="1332" w:type="dxa"/>
            <w:vAlign w:val="center"/>
          </w:tcPr>
          <w:p>
            <w:pPr>
              <w:pStyle w:val="2"/>
            </w:pPr>
            <w:r>
              <w:t>草原生态环境是否改善</w:t>
            </w:r>
          </w:p>
        </w:tc>
        <w:tc>
          <w:tcPr>
            <w:tcW w:w="2891" w:type="dxa"/>
            <w:vAlign w:val="center"/>
          </w:tcPr>
          <w:p>
            <w:pPr>
              <w:pStyle w:val="2"/>
            </w:pPr>
            <w:r>
              <w:t>草原生态环境是否改善</w:t>
            </w:r>
          </w:p>
        </w:tc>
        <w:tc>
          <w:tcPr>
            <w:tcW w:w="1276" w:type="dxa"/>
            <w:vAlign w:val="center"/>
          </w:tcPr>
          <w:p>
            <w:pPr>
              <w:pStyle w:val="2"/>
            </w:pPr>
            <w:r>
              <w:t>是</w:t>
            </w:r>
          </w:p>
        </w:tc>
        <w:tc>
          <w:tcPr>
            <w:tcW w:w="1843" w:type="dxa"/>
            <w:vAlign w:val="center"/>
          </w:tcPr>
          <w:p>
            <w:pPr>
              <w:pStyle w:val="2"/>
            </w:pPr>
            <w:r>
              <w:t>根据防治情况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项目区内草地资源生产能力和再生产能力是否稳定发展</w:t>
            </w:r>
          </w:p>
        </w:tc>
        <w:tc>
          <w:tcPr>
            <w:tcW w:w="2891" w:type="dxa"/>
            <w:vAlign w:val="center"/>
          </w:tcPr>
          <w:p>
            <w:pPr>
              <w:pStyle w:val="2"/>
            </w:pPr>
            <w:r>
              <w:t>项目区内草地资源生产能力和再生产能力是否稳定发展</w:t>
            </w:r>
          </w:p>
        </w:tc>
        <w:tc>
          <w:tcPr>
            <w:tcW w:w="1276" w:type="dxa"/>
            <w:vAlign w:val="center"/>
          </w:tcPr>
          <w:p>
            <w:pPr>
              <w:pStyle w:val="2"/>
            </w:pPr>
            <w:r>
              <w:t>是</w:t>
            </w:r>
          </w:p>
        </w:tc>
        <w:tc>
          <w:tcPr>
            <w:tcW w:w="1843" w:type="dxa"/>
            <w:vAlign w:val="center"/>
          </w:tcPr>
          <w:p>
            <w:pPr>
              <w:pStyle w:val="2"/>
            </w:pPr>
            <w:r>
              <w:t>根据防治情况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参与人员满意度</w:t>
            </w:r>
          </w:p>
        </w:tc>
        <w:tc>
          <w:tcPr>
            <w:tcW w:w="2891" w:type="dxa"/>
            <w:vAlign w:val="center"/>
          </w:tcPr>
          <w:p>
            <w:pPr>
              <w:pStyle w:val="2"/>
            </w:pPr>
            <w:r>
              <w:t>参与人员满意度</w:t>
            </w:r>
          </w:p>
        </w:tc>
        <w:tc>
          <w:tcPr>
            <w:tcW w:w="1276" w:type="dxa"/>
            <w:vAlign w:val="center"/>
          </w:tcPr>
          <w:p>
            <w:pPr>
              <w:pStyle w:val="2"/>
            </w:pPr>
            <w:r>
              <w:t>≥80%</w:t>
            </w:r>
          </w:p>
        </w:tc>
        <w:tc>
          <w:tcPr>
            <w:tcW w:w="1843" w:type="dxa"/>
            <w:vAlign w:val="center"/>
          </w:tcPr>
          <w:p>
            <w:pPr>
              <w:pStyle w:val="2"/>
            </w:pPr>
            <w:r>
              <w:t>根据防治情况</w:t>
            </w:r>
          </w:p>
        </w:tc>
      </w:tr>
    </w:tbl>
    <w:p/>
    <w:p/>
    <w:p/>
    <w:p/>
    <w:p/>
    <w:p/>
    <w:p/>
    <w:p/>
    <w:p/>
    <w:p/>
    <w:p/>
    <w:p/>
    <w:p/>
    <w:p/>
    <w:p/>
    <w:p/>
    <w:p/>
    <w:p/>
    <w:p/>
    <w:p/>
    <w:p/>
    <w:p/>
    <w:p/>
    <w:p/>
    <w:p/>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r>
        <w:rPr>
          <w:rFonts w:ascii="宋体" w:hAnsi="宋体" w:cs="宋体" w:hint="eastAsia"/>
          <w:b/>
          <w:kern w:val="0"/>
          <w:sz w:val="44"/>
          <w:szCs w:val="44"/>
        </w:rPr>
        <w:t>举借债务情况说明</w:t>
      </w:r>
    </w:p>
    <w:p>
      <w:pPr>
        <w:rPr>
          <w:rFonts w:ascii="方正仿宋_GBK" w:eastAsia="方正仿宋_GBK" w:hAnsi="宋体"/>
          <w:sz w:val="32"/>
          <w:szCs w:val="32"/>
        </w:rPr>
      </w:pPr>
      <w:r>
        <w:rPr>
          <w:rFonts w:ascii="方正仿宋_GBK" w:eastAsia="方正仿宋_GBK" w:hAnsi="宋体" w:hint="eastAsia"/>
          <w:sz w:val="32"/>
          <w:szCs w:val="32"/>
        </w:rPr>
        <w:t>上年度末政府一般债务余额39.23亿元，一般债务限额51.65亿元。上年度末政府专项债务余额11.34亿元，专项债务限额13.13亿元。2022年年初预算中，我县未安排举借新的债务。</w:t>
      </w:r>
    </w:p>
    <w:p/>
    <w:p/>
    <w:p/>
    <w:p/>
    <w:p/>
    <w:p/>
    <w:p/>
    <w:p/>
    <w:p/>
    <w:p/>
    <w:p/>
    <w:p/>
    <w:p/>
    <w:p/>
    <w:p/>
    <w:p/>
    <w:p/>
    <w:p/>
    <w:p/>
    <w:p/>
    <w:p/>
    <w:p/>
    <w:p/>
    <w:p/>
    <w:p/>
    <w:p/>
    <w:p/>
    <w:p/>
    <w:p/>
    <w:p/>
    <w:p/>
    <w:p>
      <w:pPr>
        <w:jc w:val="center"/>
        <w:rPr>
          <w:rFonts w:ascii="宋体" w:hAnsi="宋体"/>
          <w:b/>
          <w:sz w:val="44"/>
          <w:szCs w:val="44"/>
        </w:rPr>
      </w:pPr>
    </w:p>
    <w:p>
      <w:pPr>
        <w:jc w:val="center"/>
        <w:rPr>
          <w:rFonts w:ascii="宋体" w:hAnsi="宋体"/>
          <w:b/>
          <w:sz w:val="44"/>
          <w:szCs w:val="44"/>
        </w:rPr>
      </w:pPr>
      <w:r>
        <w:rPr>
          <w:rFonts w:ascii="宋体" w:hAnsi="宋体" w:hint="eastAsia"/>
          <w:b/>
          <w:sz w:val="44"/>
          <w:szCs w:val="44"/>
        </w:rPr>
        <w:t>2022年预算批准日说明</w:t>
      </w:r>
    </w:p>
    <w:p>
      <w:pPr>
        <w:ind w:firstLine="720" w:firstLineChars="225"/>
        <w:rPr>
          <w:rFonts w:ascii="方正仿宋_GBK" w:eastAsia="方正仿宋_GBK" w:hAnsi="宋体"/>
          <w:spacing w:val="-8"/>
          <w:sz w:val="32"/>
          <w:szCs w:val="32"/>
        </w:rPr>
      </w:pPr>
      <w:r>
        <w:rPr>
          <w:rFonts w:ascii="方正仿宋_GBK" w:eastAsia="方正仿宋_GBK" w:hAnsi="宋体" w:hint="eastAsia"/>
          <w:spacing w:val="-8"/>
          <w:sz w:val="32"/>
          <w:szCs w:val="32"/>
        </w:rPr>
        <w:t>2022年01月27日，在宽城满族自治县第七届人民代表大会第五次会议上通过了关于宽城满族自治县2021年财政预算执行情况和2022年财政预算的决议。</w:t>
      </w:r>
    </w:p>
    <w:p>
      <w:pPr>
        <w:rPr>
          <w:rFonts w:ascii="方正仿宋_GBK" w:eastAsia="方正仿宋_GBK"/>
        </w:rPr>
      </w:pPr>
    </w:p>
    <w:p/>
    <w:p/>
    <w:p/>
    <w:p/>
    <w:p/>
    <w:p/>
    <w:p/>
    <w:p/>
    <w:p/>
    <w:p/>
    <w:p/>
    <w:p/>
    <w:p/>
    <w:p/>
    <w:p/>
    <w:p/>
    <w:p/>
    <w:p/>
    <w:p/>
    <w:p/>
    <w:p/>
    <w:p/>
    <w:p/>
    <w:p/>
    <w:p/>
    <w:p/>
    <w:p/>
    <w:p/>
    <w:p/>
    <w:p/>
    <w:p/>
    <w:p/>
    <w:p>
      <w:pPr>
        <w:ind w:firstLine="880" w:firstLineChars="200"/>
        <w:jc w:val="center"/>
        <w:rPr>
          <w:rFonts w:ascii="宋体" w:hAnsi="宋体"/>
          <w:sz w:val="44"/>
          <w:szCs w:val="44"/>
        </w:rPr>
      </w:pPr>
    </w:p>
    <w:p>
      <w:pPr>
        <w:ind w:firstLine="880" w:firstLineChars="200"/>
        <w:jc w:val="center"/>
        <w:rPr>
          <w:rFonts w:ascii="宋体" w:hAnsi="宋体"/>
          <w:b/>
          <w:sz w:val="44"/>
          <w:szCs w:val="44"/>
        </w:rPr>
      </w:pPr>
      <w:r>
        <w:rPr>
          <w:rFonts w:ascii="宋体" w:hAnsi="宋体" w:hint="eastAsia"/>
          <w:b/>
          <w:sz w:val="44"/>
          <w:szCs w:val="44"/>
        </w:rPr>
        <w:t>宽城县政府预算</w:t>
      </w:r>
    </w:p>
    <w:p>
      <w:pPr>
        <w:ind w:firstLine="880" w:firstLineChars="200"/>
        <w:jc w:val="center"/>
        <w:rPr>
          <w:rFonts w:ascii="宋体" w:hAnsi="宋体"/>
          <w:b/>
          <w:sz w:val="44"/>
          <w:szCs w:val="44"/>
        </w:rPr>
      </w:pPr>
      <w:r>
        <w:rPr>
          <w:rFonts w:ascii="宋体" w:hAnsi="宋体" w:hint="eastAsia"/>
          <w:b/>
          <w:sz w:val="44"/>
          <w:szCs w:val="44"/>
        </w:rPr>
        <w:t>关于其他重要事项说明的报告</w:t>
      </w:r>
    </w:p>
    <w:p>
      <w:pPr>
        <w:ind w:firstLine="640" w:firstLineChars="200"/>
        <w:rPr>
          <w:rFonts w:ascii="方正仿宋_GBK" w:eastAsia="方正仿宋_GBK"/>
          <w:sz w:val="32"/>
          <w:szCs w:val="32"/>
        </w:rPr>
      </w:pPr>
      <w:r>
        <w:rPr>
          <w:rFonts w:ascii="方正仿宋_GBK" w:eastAsia="方正仿宋_GBK" w:hint="eastAsia"/>
          <w:sz w:val="32"/>
          <w:szCs w:val="32"/>
        </w:rPr>
        <w:t>我县无其他重要事项说明，特此公开。</w:t>
      </w:r>
    </w:p>
    <w:p>
      <w:pPr>
        <w:rPr>
          <w:rFonts w:ascii="方正仿宋_GBK" w:eastAsia="方正仿宋_GBK"/>
        </w:rPr>
      </w:pPr>
    </w:p>
    <w:p/>
    <w:p/>
    <w:p>
      <w:pPr>
        <w:jc w:val="center"/>
      </w:pPr>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831488A"/>
    <w:multiLevelType w:val="multilevel"/>
    <w:tmpl w:val="7831488A"/>
    <w:lvl w:ilvl="0">
      <w:start w:val="5"/>
      <w:numFmt w:val="japaneseCounting"/>
      <w:lvlText w:val="%1、"/>
      <w:lvlJc w:val="left"/>
      <w:pPr>
        <w:ind w:left="720" w:hanging="720"/>
      </w:pPr>
      <w:rPr>
        <w:rFonts w:ascii="黑体" w:eastAsia="黑体" w:hAnsi="黑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65"/>
    <w:rsid w:val="00025211"/>
    <w:rsid w:val="00033B36"/>
    <w:rsid w:val="00045FE3"/>
    <w:rsid w:val="00092E48"/>
    <w:rsid w:val="001042D3"/>
    <w:rsid w:val="00113831"/>
    <w:rsid w:val="00150A33"/>
    <w:rsid w:val="0017093F"/>
    <w:rsid w:val="00175186"/>
    <w:rsid w:val="00184CCE"/>
    <w:rsid w:val="001D17DA"/>
    <w:rsid w:val="001E1C8E"/>
    <w:rsid w:val="001E471A"/>
    <w:rsid w:val="0023501D"/>
    <w:rsid w:val="00246374"/>
    <w:rsid w:val="002549BE"/>
    <w:rsid w:val="00294A1C"/>
    <w:rsid w:val="00296D74"/>
    <w:rsid w:val="002A7796"/>
    <w:rsid w:val="00323AEE"/>
    <w:rsid w:val="0036117D"/>
    <w:rsid w:val="00363D4B"/>
    <w:rsid w:val="00385605"/>
    <w:rsid w:val="00386497"/>
    <w:rsid w:val="0039203A"/>
    <w:rsid w:val="003C4B5A"/>
    <w:rsid w:val="003E2851"/>
    <w:rsid w:val="00420E64"/>
    <w:rsid w:val="00447E00"/>
    <w:rsid w:val="00462C4A"/>
    <w:rsid w:val="0046797D"/>
    <w:rsid w:val="00482C90"/>
    <w:rsid w:val="004B6F81"/>
    <w:rsid w:val="004B7749"/>
    <w:rsid w:val="004E4A98"/>
    <w:rsid w:val="004F3BE6"/>
    <w:rsid w:val="00510CD7"/>
    <w:rsid w:val="00563F78"/>
    <w:rsid w:val="00566BF4"/>
    <w:rsid w:val="005722BD"/>
    <w:rsid w:val="00581251"/>
    <w:rsid w:val="00585C0B"/>
    <w:rsid w:val="00586EBE"/>
    <w:rsid w:val="00590F9F"/>
    <w:rsid w:val="005A0D98"/>
    <w:rsid w:val="005C7299"/>
    <w:rsid w:val="00613146"/>
    <w:rsid w:val="00637783"/>
    <w:rsid w:val="006B4535"/>
    <w:rsid w:val="006B772E"/>
    <w:rsid w:val="006C5FC1"/>
    <w:rsid w:val="006E02D6"/>
    <w:rsid w:val="006F2F7C"/>
    <w:rsid w:val="006F565D"/>
    <w:rsid w:val="00705EC4"/>
    <w:rsid w:val="00706B4C"/>
    <w:rsid w:val="007341D0"/>
    <w:rsid w:val="00737A63"/>
    <w:rsid w:val="00741DBF"/>
    <w:rsid w:val="00755566"/>
    <w:rsid w:val="007C1E09"/>
    <w:rsid w:val="007E2137"/>
    <w:rsid w:val="007F7617"/>
    <w:rsid w:val="00850F12"/>
    <w:rsid w:val="008B11C3"/>
    <w:rsid w:val="008B57C8"/>
    <w:rsid w:val="00916D9F"/>
    <w:rsid w:val="0094727F"/>
    <w:rsid w:val="00950921"/>
    <w:rsid w:val="009541D3"/>
    <w:rsid w:val="00970B9C"/>
    <w:rsid w:val="00986EC5"/>
    <w:rsid w:val="009B6C8A"/>
    <w:rsid w:val="009D315C"/>
    <w:rsid w:val="00A12A7D"/>
    <w:rsid w:val="00A16C93"/>
    <w:rsid w:val="00A41BB4"/>
    <w:rsid w:val="00A4287D"/>
    <w:rsid w:val="00A931AF"/>
    <w:rsid w:val="00A96AB1"/>
    <w:rsid w:val="00AE67D4"/>
    <w:rsid w:val="00AF0E3F"/>
    <w:rsid w:val="00B06B24"/>
    <w:rsid w:val="00B10099"/>
    <w:rsid w:val="00B12428"/>
    <w:rsid w:val="00B1642B"/>
    <w:rsid w:val="00B613BD"/>
    <w:rsid w:val="00B77F36"/>
    <w:rsid w:val="00B865F0"/>
    <w:rsid w:val="00B8745E"/>
    <w:rsid w:val="00C14C3A"/>
    <w:rsid w:val="00C17ED7"/>
    <w:rsid w:val="00C21C5D"/>
    <w:rsid w:val="00C411D9"/>
    <w:rsid w:val="00C47668"/>
    <w:rsid w:val="00C666BB"/>
    <w:rsid w:val="00CA7543"/>
    <w:rsid w:val="00D72FE5"/>
    <w:rsid w:val="00D95A30"/>
    <w:rsid w:val="00DB3391"/>
    <w:rsid w:val="00E041BB"/>
    <w:rsid w:val="00E467D7"/>
    <w:rsid w:val="00E5268F"/>
    <w:rsid w:val="00E87D8A"/>
    <w:rsid w:val="00EA6B2A"/>
    <w:rsid w:val="00EB19D3"/>
    <w:rsid w:val="00EC00D6"/>
    <w:rsid w:val="00EC4E6B"/>
    <w:rsid w:val="00F146CA"/>
    <w:rsid w:val="00F41A79"/>
    <w:rsid w:val="00F51DF0"/>
    <w:rsid w:val="00F90F55"/>
    <w:rsid w:val="00F97E18"/>
    <w:rsid w:val="00FA554D"/>
    <w:rsid w:val="00FB6912"/>
    <w:rsid w:val="00FC6325"/>
    <w:rsid w:val="00FD74C4"/>
    <w:rsid w:val="00FE4365"/>
    <w:rsid w:val="00FE646F"/>
    <w:rsid w:val="0C706024"/>
    <w:rsid w:val="36F375C8"/>
    <w:rsid w:val="5A756559"/>
  </w:rsids>
  <w:docVars>
    <w:docVar w:name="commondata" w:val="eyJoZGlkIjoiMWI3YWRiNzBmMjU0ZDU5NzVlYTEyYjNlZjJjYzE4NDM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unhideWhenUsed/>
    <w:qFormat/>
    <w:pPr>
      <w:tabs>
        <w:tab w:val="center" w:pos="4153"/>
        <w:tab w:val="right" w:pos="8306"/>
      </w:tabs>
      <w:snapToGrid w:val="0"/>
      <w:jc w:val="left"/>
    </w:pPr>
    <w:rPr>
      <w:rFonts w:ascii="Calibri" w:hAnsi="Calibri"/>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脚 Char"/>
    <w:basedOn w:val="DefaultParagraphFont"/>
    <w:link w:val="Footer"/>
    <w:autoRedefine/>
    <w:uiPriority w:val="99"/>
    <w:semiHidden/>
    <w:qFormat/>
    <w:rPr>
      <w:sz w:val="18"/>
      <w:szCs w:val="18"/>
    </w:rPr>
  </w:style>
  <w:style w:type="character" w:customStyle="1" w:styleId="Char0">
    <w:name w:val="页眉 Char"/>
    <w:basedOn w:val="DefaultParagraphFont"/>
    <w:link w:val="Header"/>
    <w:uiPriority w:val="99"/>
    <w:semiHidden/>
    <w:qFormat/>
    <w:rPr>
      <w:sz w:val="18"/>
      <w:szCs w:val="18"/>
    </w:rPr>
  </w:style>
  <w:style w:type="paragraph" w:customStyle="1" w:styleId="Char1">
    <w:name w:val="Char"/>
    <w:basedOn w:val="Normal"/>
    <w:qFormat/>
  </w:style>
  <w:style w:type="paragraph" w:styleId="ListParagraph">
    <w:name w:val="List Paragraph"/>
    <w:basedOn w:val="Normal"/>
    <w:uiPriority w:val="34"/>
    <w:qFormat/>
    <w:pPr>
      <w:ind w:firstLine="420" w:firstLineChars="200"/>
    </w:pPr>
    <w:rPr>
      <w:rFonts w:ascii="Calibri" w:hAnsi="Calibri"/>
      <w:szCs w:val="21"/>
    </w:rPr>
  </w:style>
  <w:style w:type="paragraph" w:customStyle="1" w:styleId="4">
    <w:name w:val="单元格样式4"/>
    <w:basedOn w:val="Normal"/>
    <w:qFormat/>
    <w:pPr>
      <w:widowControl/>
      <w:jc w:val="right"/>
    </w:pPr>
    <w:rPr>
      <w:rFonts w:ascii="方正书宋_GBK" w:eastAsia="方正书宋_GBK" w:hAnsi="方正书宋_GBK" w:cs="方正书宋_GBK"/>
      <w:kern w:val="0"/>
      <w:lang w:eastAsia="uk-UA"/>
    </w:rPr>
  </w:style>
  <w:style w:type="paragraph" w:customStyle="1" w:styleId="5">
    <w:name w:val="单元格样式5"/>
    <w:basedOn w:val="Normal"/>
    <w:qFormat/>
    <w:pPr>
      <w:widowControl/>
      <w:jc w:val="left"/>
    </w:pPr>
    <w:rPr>
      <w:rFonts w:ascii="方正书宋_GBK" w:eastAsia="方正书宋_GBK" w:hAnsi="方正书宋_GBK" w:cs="方正书宋_GBK"/>
      <w:b/>
      <w:kern w:val="0"/>
      <w:lang w:eastAsia="uk-UA"/>
    </w:rPr>
  </w:style>
  <w:style w:type="paragraph" w:customStyle="1" w:styleId="2">
    <w:name w:val="单元格样式2"/>
    <w:basedOn w:val="Normal"/>
    <w:qFormat/>
    <w:pPr>
      <w:widowControl/>
      <w:jc w:val="left"/>
    </w:pPr>
    <w:rPr>
      <w:rFonts w:ascii="方正书宋_GBK" w:eastAsia="方正书宋_GBK" w:hAnsi="方正书宋_GBK" w:cs="方正书宋_GBK"/>
      <w:kern w:val="0"/>
      <w:lang w:eastAsia="uk-UA"/>
    </w:rPr>
  </w:style>
  <w:style w:type="paragraph" w:customStyle="1" w:styleId="1">
    <w:name w:val="单元格样式1"/>
    <w:basedOn w:val="Normal"/>
    <w:qFormat/>
    <w:pPr>
      <w:widowControl/>
      <w:jc w:val="center"/>
    </w:pPr>
    <w:rPr>
      <w:rFonts w:ascii="方正书宋_GBK" w:eastAsia="方正书宋_GBK" w:hAnsi="方正书宋_GBK" w:cs="方正书宋_GBK"/>
      <w:b/>
      <w:kern w:val="0"/>
      <w:lang w:eastAsia="uk-UA"/>
    </w:rPr>
  </w:style>
  <w:style w:type="paragraph" w:customStyle="1" w:styleId="3">
    <w:name w:val="单元格样式3"/>
    <w:basedOn w:val="Normal"/>
    <w:qFormat/>
    <w:pPr>
      <w:widowControl/>
      <w:jc w:val="center"/>
    </w:pPr>
    <w:rPr>
      <w:rFonts w:ascii="方正书宋_GBK" w:eastAsia="方正书宋_GBK" w:hAnsi="方正书宋_GBK" w:cs="方正书宋_GBK"/>
      <w:kern w:val="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er-006\Desktop\2022-2023&#24180;&#39044;&#31639;&#20844;&#24320;\&#23485;&#22478;&#28385;&#26063;&#33258;&#27835;&#21439;&#20154;&#27665;&#25919;&#24220;2022&#24180;&#39044;&#31639;&#20844;&#24320;.dot"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宽城满族自治县人民政府2022年预算公开</Template>
  <TotalTime>296</TotalTime>
  <Pages>1</Pages>
  <Words>3467</Words>
  <Characters>19768</Characters>
  <Application>Microsoft Office Word</Application>
  <DocSecurity>0</DocSecurity>
  <Lines>164</Lines>
  <Paragraphs>46</Paragraphs>
  <ScaleCrop>false</ScaleCrop>
  <Company/>
  <LinksUpToDate>false</LinksUpToDate>
  <CharactersWithSpaces>23189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user-006</dc:creator>
  <cp:lastModifiedBy>焦糖玛奇朵</cp:lastModifiedBy>
  <cp:revision>41</cp:revision>
  <cp:lastPrinted>2022-02-15T01:48:00Z</cp:lastPrinted>
  <dcterms:created xsi:type="dcterms:W3CDTF">2023-09-11T02:45:00Z</dcterms:created>
  <dcterms:modified xsi:type="dcterms:W3CDTF">2024-11-29T02:33:28Z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4A52CA7EF04D4FA58781AC31B145351F</vt:lpwstr>
  </property>
  <property fmtid="{D5CDD505-2E9C-101B-9397-08002B2CF9AE}" pid="3" name="KSOProductBuildVer">
    <vt:lpwstr>2052-12.1.0.16250</vt:lpwstr>
  </property>
</Properties>
</file>