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cs="Times New Roman" w:asciiTheme="minorEastAsia" w:hAnsiTheme="minorEastAsia"/>
          <w:sz w:val="44"/>
          <w:szCs w:val="44"/>
        </w:rPr>
      </w:pPr>
      <w:bookmarkStart w:id="2" w:name="_GoBack"/>
      <w:r>
        <w:rPr>
          <w:rFonts w:hint="eastAsia" w:cs="Times New Roman" w:asciiTheme="minorEastAsia" w:hAnsiTheme="minorEastAsia"/>
          <w:sz w:val="44"/>
          <w:szCs w:val="44"/>
        </w:rPr>
        <w:t>河北宽城经济开发区</w:t>
      </w:r>
      <w:r>
        <w:rPr>
          <w:rFonts w:cs="Times New Roman" w:asciiTheme="minorEastAsia" w:hAnsiTheme="minorEastAsia"/>
          <w:sz w:val="44"/>
          <w:szCs w:val="44"/>
        </w:rPr>
        <w:t>201</w:t>
      </w:r>
      <w:r>
        <w:rPr>
          <w:rFonts w:hint="eastAsia" w:cs="Times New Roman" w:asciiTheme="minorEastAsia" w:hAnsiTheme="minorEastAsia"/>
          <w:sz w:val="44"/>
          <w:szCs w:val="44"/>
        </w:rPr>
        <w:t>9</w:t>
      </w:r>
      <w:r>
        <w:rPr>
          <w:rFonts w:cs="Times New Roman" w:asciiTheme="minorEastAsia" w:hAnsiTheme="minorEastAsia"/>
          <w:sz w:val="44"/>
          <w:szCs w:val="44"/>
        </w:rPr>
        <w:t>年部门预算信息公开</w:t>
      </w:r>
      <w:r>
        <w:rPr>
          <w:rFonts w:hint="eastAsia" w:cs="Times New Roman" w:asciiTheme="minorEastAsia" w:hAnsiTheme="minorEastAsia"/>
          <w:sz w:val="44"/>
          <w:szCs w:val="44"/>
        </w:rPr>
        <w:t>情况说明</w:t>
      </w:r>
    </w:p>
    <w:bookmarkEnd w:id="2"/>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ind w:firstLine="64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一</w:t>
      </w:r>
      <w:r>
        <w:rPr>
          <w:rFonts w:hint="eastAsia" w:ascii="仿宋" w:hAnsi="仿宋" w:eastAsia="仿宋" w:cs="Times New Roman"/>
          <w:sz w:val="32"/>
          <w:szCs w:val="32"/>
        </w:rPr>
        <w:t>）中共河北宽城经济开发区工作委员会主要职责：</w:t>
      </w:r>
    </w:p>
    <w:p>
      <w:pPr>
        <w:ind w:firstLine="64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、贯彻落实党的路线、方针、政策和上级党委的决议、指示</w:t>
      </w:r>
    </w:p>
    <w:p>
      <w:pPr>
        <w:ind w:firstLine="640"/>
        <w:rPr>
          <w:rFonts w:ascii="仿宋" w:hAnsi="仿宋" w:eastAsia="仿宋" w:cs="Times New Roman"/>
          <w:sz w:val="32"/>
          <w:szCs w:val="32"/>
        </w:rPr>
      </w:pPr>
      <w:r>
        <w:rPr>
          <w:rFonts w:hint="eastAsia" w:ascii="仿宋" w:hAnsi="仿宋" w:eastAsia="仿宋" w:cs="Times New Roman"/>
          <w:sz w:val="32"/>
          <w:szCs w:val="32"/>
        </w:rPr>
        <w:t>2、研究辖区内重大经济社会发展问题</w:t>
      </w:r>
    </w:p>
    <w:p>
      <w:pPr>
        <w:ind w:firstLine="640"/>
        <w:rPr>
          <w:rFonts w:ascii="仿宋" w:hAnsi="仿宋" w:eastAsia="仿宋" w:cs="Times New Roman"/>
          <w:sz w:val="32"/>
          <w:szCs w:val="32"/>
        </w:rPr>
      </w:pPr>
      <w:r>
        <w:rPr>
          <w:rFonts w:hint="eastAsia" w:ascii="仿宋" w:hAnsi="仿宋" w:eastAsia="仿宋" w:cs="Times New Roman"/>
          <w:sz w:val="32"/>
          <w:szCs w:val="32"/>
        </w:rPr>
        <w:t>3、按照授权和干部管理权限负责辖区内干部管理</w:t>
      </w:r>
    </w:p>
    <w:p>
      <w:pPr>
        <w:ind w:firstLine="640"/>
        <w:rPr>
          <w:rFonts w:ascii="仿宋" w:hAnsi="仿宋" w:eastAsia="仿宋" w:cs="Times New Roman"/>
          <w:sz w:val="32"/>
          <w:szCs w:val="32"/>
        </w:rPr>
      </w:pPr>
      <w:r>
        <w:rPr>
          <w:rFonts w:hint="eastAsia" w:ascii="仿宋" w:hAnsi="仿宋" w:eastAsia="仿宋" w:cs="Times New Roman"/>
          <w:sz w:val="32"/>
          <w:szCs w:val="32"/>
        </w:rPr>
        <w:t>4、负责辖区内党的建设和其他党务工作</w:t>
      </w:r>
    </w:p>
    <w:p>
      <w:pPr>
        <w:ind w:firstLine="640"/>
        <w:rPr>
          <w:rFonts w:ascii="仿宋" w:hAnsi="仿宋" w:eastAsia="仿宋" w:cs="Times New Roman"/>
          <w:sz w:val="32"/>
          <w:szCs w:val="32"/>
        </w:rPr>
      </w:pPr>
      <w:r>
        <w:rPr>
          <w:rFonts w:hint="eastAsia" w:ascii="仿宋" w:hAnsi="仿宋" w:eastAsia="仿宋" w:cs="Times New Roman"/>
          <w:sz w:val="32"/>
          <w:szCs w:val="32"/>
        </w:rPr>
        <w:t>5、负责宣传和精神文明建设工作</w:t>
      </w:r>
    </w:p>
    <w:p>
      <w:pPr>
        <w:ind w:firstLine="640"/>
        <w:rPr>
          <w:rFonts w:ascii="仿宋" w:hAnsi="仿宋" w:eastAsia="仿宋" w:cs="Times New Roman"/>
          <w:sz w:val="32"/>
          <w:szCs w:val="32"/>
        </w:rPr>
      </w:pPr>
      <w:r>
        <w:rPr>
          <w:rFonts w:hint="eastAsia" w:ascii="仿宋" w:hAnsi="仿宋" w:eastAsia="仿宋" w:cs="Times New Roman"/>
          <w:sz w:val="32"/>
          <w:szCs w:val="32"/>
        </w:rPr>
        <w:t>6、组织协调辖区内社会管理综合治理和维护稳定工作</w:t>
      </w:r>
    </w:p>
    <w:p>
      <w:pPr>
        <w:ind w:firstLine="640"/>
        <w:rPr>
          <w:rFonts w:ascii="仿宋" w:hAnsi="仿宋" w:eastAsia="仿宋" w:cs="Times New Roman"/>
          <w:sz w:val="32"/>
          <w:szCs w:val="32"/>
        </w:rPr>
      </w:pPr>
      <w:r>
        <w:rPr>
          <w:rFonts w:hint="eastAsia" w:ascii="仿宋" w:hAnsi="仿宋" w:eastAsia="仿宋" w:cs="Times New Roman"/>
          <w:sz w:val="32"/>
          <w:szCs w:val="32"/>
        </w:rPr>
        <w:t>7、负责辖区党的纪律检查工作</w:t>
      </w:r>
    </w:p>
    <w:p>
      <w:pPr>
        <w:ind w:firstLine="64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、负责辖区工会、共青团、妇联等群团工作</w:t>
      </w:r>
    </w:p>
    <w:p>
      <w:pPr>
        <w:ind w:firstLine="640"/>
        <w:rPr>
          <w:rFonts w:ascii="仿宋" w:hAnsi="仿宋" w:eastAsia="仿宋" w:cs="Times New Roman"/>
          <w:sz w:val="32"/>
          <w:szCs w:val="32"/>
        </w:rPr>
      </w:pPr>
      <w:r>
        <w:rPr>
          <w:rFonts w:hint="eastAsia" w:ascii="仿宋" w:hAnsi="仿宋" w:eastAsia="仿宋" w:cs="Times New Roman"/>
          <w:sz w:val="32"/>
          <w:szCs w:val="32"/>
        </w:rPr>
        <w:t>9、完成县委交办的其他任务。</w:t>
      </w:r>
    </w:p>
    <w:p>
      <w:pPr>
        <w:ind w:firstLine="64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二</w:t>
      </w:r>
      <w:r>
        <w:rPr>
          <w:rFonts w:hint="eastAsia" w:ascii="仿宋" w:hAnsi="仿宋" w:eastAsia="仿宋" w:cs="Times New Roman"/>
          <w:sz w:val="32"/>
          <w:szCs w:val="32"/>
        </w:rPr>
        <w:t>）河北宽城经济开发区管理委员会主要职责</w:t>
      </w:r>
    </w:p>
    <w:p>
      <w:pPr>
        <w:ind w:firstLine="640"/>
        <w:rPr>
          <w:rFonts w:ascii="仿宋" w:hAnsi="仿宋" w:eastAsia="仿宋" w:cs="Times New Roman"/>
          <w:sz w:val="32"/>
          <w:szCs w:val="32"/>
        </w:rPr>
      </w:pPr>
      <w:r>
        <w:rPr>
          <w:rFonts w:hint="eastAsia" w:ascii="仿宋" w:hAnsi="仿宋" w:eastAsia="仿宋" w:cs="Times New Roman"/>
          <w:sz w:val="32"/>
          <w:szCs w:val="32"/>
        </w:rPr>
        <w:t>1、编制辖区的总体规划和经济社会发展规划，经批准后组织实施</w:t>
      </w:r>
    </w:p>
    <w:p>
      <w:pPr>
        <w:ind w:firstLine="640"/>
        <w:rPr>
          <w:rFonts w:ascii="仿宋" w:hAnsi="仿宋" w:eastAsia="仿宋" w:cs="Times New Roman"/>
          <w:sz w:val="32"/>
          <w:szCs w:val="32"/>
        </w:rPr>
      </w:pPr>
      <w:r>
        <w:rPr>
          <w:rFonts w:hint="eastAsia" w:ascii="仿宋" w:hAnsi="仿宋" w:eastAsia="仿宋" w:cs="Times New Roman"/>
          <w:sz w:val="32"/>
          <w:szCs w:val="32"/>
        </w:rPr>
        <w:t>2、编制辖区区域性城市发展规划、国土利用规划，经批准后组织实施，审批或审核辖区固定资产投资项目</w:t>
      </w:r>
    </w:p>
    <w:p>
      <w:pPr>
        <w:ind w:firstLine="64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、负责辖区基础设施和公用设施的建设和管理</w:t>
      </w:r>
    </w:p>
    <w:p>
      <w:pPr>
        <w:ind w:firstLine="64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、负责辖区财政管理，实施辖区内财政预算、决算、国有资产管理和财政监督工作</w:t>
      </w:r>
    </w:p>
    <w:p>
      <w:pPr>
        <w:ind w:firstLine="64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、负责招商引资、进出口贸易和国内外经济技术合作工作</w:t>
      </w:r>
    </w:p>
    <w:p>
      <w:pPr>
        <w:ind w:firstLine="640"/>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、负责辖区环境保护和安全生产监督管理工作</w:t>
      </w:r>
    </w:p>
    <w:p>
      <w:pPr>
        <w:ind w:firstLine="640"/>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、负责辖区住房和城乡规划建设管理工作</w:t>
      </w:r>
    </w:p>
    <w:p>
      <w:pPr>
        <w:ind w:firstLine="64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、负责协调辖区内上级有关部门派驻机构工作</w:t>
      </w:r>
    </w:p>
    <w:p>
      <w:pPr>
        <w:ind w:firstLine="640"/>
        <w:rPr>
          <w:rFonts w:ascii="仿宋" w:hAnsi="仿宋" w:eastAsia="仿宋" w:cs="Times New Roman"/>
          <w:sz w:val="32"/>
          <w:szCs w:val="32"/>
        </w:rPr>
      </w:pPr>
      <w:r>
        <w:rPr>
          <w:rFonts w:ascii="仿宋" w:hAnsi="仿宋" w:eastAsia="仿宋" w:cs="Times New Roman"/>
          <w:sz w:val="32"/>
          <w:szCs w:val="32"/>
        </w:rPr>
        <w:t>9</w:t>
      </w:r>
      <w:r>
        <w:rPr>
          <w:rFonts w:hint="eastAsia" w:ascii="仿宋" w:hAnsi="仿宋" w:eastAsia="仿宋" w:cs="Times New Roman"/>
          <w:sz w:val="32"/>
          <w:szCs w:val="32"/>
        </w:rPr>
        <w:t>、负责县政府交办的其他工作。</w:t>
      </w:r>
    </w:p>
    <w:p>
      <w:pPr>
        <w:ind w:firstLine="640"/>
        <w:rPr>
          <w:rFonts w:ascii="仿宋" w:hAnsi="仿宋" w:eastAsia="仿宋" w:cs="Times New Roman"/>
          <w:b/>
          <w:sz w:val="32"/>
          <w:szCs w:val="32"/>
        </w:rPr>
      </w:pPr>
    </w:p>
    <w:p>
      <w:pPr>
        <w:ind w:firstLine="640"/>
        <w:rPr>
          <w:rFonts w:ascii="方正仿宋_GBK" w:hAnsi="Times New Roman" w:eastAsia="方正仿宋_GBK" w:cs="Times New Roman"/>
          <w:b/>
          <w:sz w:val="32"/>
          <w:szCs w:val="32"/>
        </w:rPr>
      </w:pPr>
      <w:r>
        <w:rPr>
          <w:rFonts w:hint="eastAsia" w:ascii="仿宋" w:hAnsi="仿宋" w:eastAsia="仿宋" w:cs="Times New Roman"/>
          <w:b/>
          <w:sz w:val="32"/>
          <w:szCs w:val="32"/>
        </w:rPr>
        <w:t>机构设置：</w:t>
      </w:r>
      <w:r>
        <w:rPr>
          <w:rFonts w:ascii="方正仿宋_GBK" w:hAnsi="Times New Roman" w:eastAsia="方正仿宋_GBK" w:cs="Times New Roman"/>
          <w:b/>
          <w:sz w:val="32"/>
          <w:szCs w:val="32"/>
        </w:rPr>
        <w:t xml:space="preserve"> </w:t>
      </w:r>
    </w:p>
    <w:p>
      <w:pPr>
        <w:jc w:val="center"/>
        <w:outlineLvl w:val="0"/>
        <w:rPr>
          <w:rFonts w:ascii="仿宋" w:hAnsi="仿宋" w:eastAsia="仿宋" w:cs="Times New Roman"/>
          <w:sz w:val="32"/>
          <w:szCs w:val="24"/>
        </w:rPr>
      </w:pPr>
      <w:r>
        <w:rPr>
          <w:rFonts w:ascii="仿宋" w:hAnsi="仿宋" w:eastAsia="仿宋" w:cs="Times New Roman"/>
          <w:sz w:val="32"/>
          <w:szCs w:val="24"/>
        </w:rPr>
        <w:t>部门</w:t>
      </w:r>
      <w:r>
        <w:rPr>
          <w:rFonts w:hint="eastAsia" w:ascii="仿宋" w:hAnsi="仿宋" w:eastAsia="仿宋" w:cs="Times New Roman"/>
          <w:sz w:val="32"/>
          <w:szCs w:val="24"/>
        </w:rPr>
        <w:t>机构设置情况</w:t>
      </w:r>
    </w:p>
    <w:tbl>
      <w:tblPr>
        <w:tblStyle w:val="8"/>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4359"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单位名称</w:t>
            </w:r>
          </w:p>
        </w:tc>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单位性质</w:t>
            </w:r>
          </w:p>
        </w:tc>
        <w:tc>
          <w:tcPr>
            <w:tcW w:w="12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单位规格</w:t>
            </w:r>
          </w:p>
        </w:tc>
        <w:tc>
          <w:tcPr>
            <w:tcW w:w="3013"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4359" w:type="dxa"/>
            <w:vMerge w:val="continue"/>
            <w:shd w:val="clear" w:color="auto" w:fill="auto"/>
            <w:vAlign w:val="center"/>
          </w:tcPr>
          <w:p>
            <w:pPr>
              <w:spacing w:line="300" w:lineRule="exact"/>
              <w:jc w:val="left"/>
              <w:outlineLvl w:val="0"/>
              <w:rPr>
                <w:rFonts w:ascii="仿宋" w:hAnsi="仿宋" w:eastAsia="仿宋"/>
              </w:rPr>
            </w:pPr>
          </w:p>
        </w:tc>
        <w:tc>
          <w:tcPr>
            <w:tcW w:w="1134" w:type="dxa"/>
            <w:vMerge w:val="continue"/>
            <w:shd w:val="clear" w:color="auto" w:fill="auto"/>
            <w:vAlign w:val="center"/>
          </w:tcPr>
          <w:p>
            <w:pPr>
              <w:spacing w:line="300" w:lineRule="exact"/>
              <w:jc w:val="left"/>
              <w:outlineLvl w:val="0"/>
              <w:rPr>
                <w:rFonts w:ascii="仿宋" w:hAnsi="仿宋" w:eastAsia="仿宋"/>
              </w:rPr>
            </w:pPr>
          </w:p>
        </w:tc>
        <w:tc>
          <w:tcPr>
            <w:tcW w:w="1276" w:type="dxa"/>
            <w:vMerge w:val="continue"/>
            <w:shd w:val="clear" w:color="auto" w:fill="auto"/>
            <w:vAlign w:val="center"/>
          </w:tcPr>
          <w:p>
            <w:pPr>
              <w:spacing w:line="300" w:lineRule="exact"/>
              <w:jc w:val="left"/>
              <w:outlineLvl w:val="0"/>
              <w:rPr>
                <w:rFonts w:ascii="仿宋" w:hAnsi="仿宋" w:eastAsia="仿宋"/>
              </w:rPr>
            </w:pPr>
          </w:p>
        </w:tc>
        <w:tc>
          <w:tcPr>
            <w:tcW w:w="3013" w:type="dxa"/>
            <w:vMerge w:val="continue"/>
            <w:shd w:val="clear" w:color="auto" w:fill="auto"/>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359" w:type="dxa"/>
            <w:shd w:val="clear" w:color="auto" w:fill="auto"/>
            <w:vAlign w:val="center"/>
          </w:tcPr>
          <w:p>
            <w:pPr>
              <w:spacing w:line="300" w:lineRule="exact"/>
              <w:jc w:val="center"/>
              <w:rPr>
                <w:rFonts w:ascii="仿宋" w:hAnsi="仿宋" w:eastAsia="仿宋"/>
                <w:b/>
              </w:rPr>
            </w:pPr>
            <w:r>
              <w:rPr>
                <w:rFonts w:hint="eastAsia" w:ascii="仿宋" w:hAnsi="仿宋" w:eastAsia="仿宋"/>
                <w:b/>
              </w:rPr>
              <w:t>合    计</w:t>
            </w:r>
          </w:p>
        </w:tc>
        <w:tc>
          <w:tcPr>
            <w:tcW w:w="1134" w:type="dxa"/>
            <w:shd w:val="clear" w:color="auto" w:fill="auto"/>
            <w:vAlign w:val="center"/>
          </w:tcPr>
          <w:p>
            <w:pPr>
              <w:spacing w:line="300" w:lineRule="exact"/>
              <w:jc w:val="center"/>
              <w:rPr>
                <w:rFonts w:ascii="仿宋" w:hAnsi="仿宋" w:eastAsia="仿宋"/>
                <w:b/>
              </w:rPr>
            </w:pPr>
          </w:p>
        </w:tc>
        <w:tc>
          <w:tcPr>
            <w:tcW w:w="1276" w:type="dxa"/>
            <w:shd w:val="clear" w:color="auto" w:fill="auto"/>
            <w:vAlign w:val="center"/>
          </w:tcPr>
          <w:p>
            <w:pPr>
              <w:spacing w:line="300" w:lineRule="exact"/>
              <w:jc w:val="center"/>
              <w:rPr>
                <w:rFonts w:ascii="仿宋" w:hAnsi="仿宋" w:eastAsia="仿宋"/>
                <w:b/>
              </w:rPr>
            </w:pPr>
          </w:p>
        </w:tc>
        <w:tc>
          <w:tcPr>
            <w:tcW w:w="3013" w:type="dxa"/>
            <w:shd w:val="clear" w:color="auto" w:fill="auto"/>
            <w:vAlign w:val="center"/>
          </w:tcPr>
          <w:p>
            <w:pPr>
              <w:spacing w:line="300" w:lineRule="exact"/>
              <w:jc w:val="center"/>
              <w:rPr>
                <w:rFonts w:ascii="仿宋" w:hAnsi="仿宋" w:eastAsia="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359" w:type="dxa"/>
            <w:shd w:val="clear" w:color="auto" w:fill="auto"/>
            <w:vAlign w:val="center"/>
          </w:tcPr>
          <w:p>
            <w:pPr>
              <w:spacing w:line="300" w:lineRule="exact"/>
              <w:jc w:val="center"/>
              <w:rPr>
                <w:rFonts w:ascii="仿宋" w:hAnsi="仿宋" w:eastAsia="仿宋"/>
              </w:rPr>
            </w:pPr>
            <w:r>
              <w:rPr>
                <w:rFonts w:hint="eastAsia" w:ascii="仿宋" w:hAnsi="仿宋" w:eastAsia="仿宋"/>
              </w:rPr>
              <w:t>河北宽城经济开发区</w:t>
            </w:r>
          </w:p>
        </w:tc>
        <w:tc>
          <w:tcPr>
            <w:tcW w:w="1134" w:type="dxa"/>
            <w:shd w:val="clear" w:color="auto" w:fill="auto"/>
            <w:vAlign w:val="center"/>
          </w:tcPr>
          <w:p>
            <w:pPr>
              <w:spacing w:line="300" w:lineRule="exact"/>
              <w:jc w:val="center"/>
              <w:rPr>
                <w:rFonts w:ascii="仿宋" w:hAnsi="仿宋" w:eastAsia="仿宋"/>
              </w:rPr>
            </w:pPr>
            <w:r>
              <w:rPr>
                <w:rFonts w:hint="eastAsia" w:ascii="仿宋" w:hAnsi="仿宋" w:eastAsia="仿宋"/>
              </w:rPr>
              <w:t>行政</w:t>
            </w:r>
          </w:p>
        </w:tc>
        <w:tc>
          <w:tcPr>
            <w:tcW w:w="1276" w:type="dxa"/>
            <w:shd w:val="clear" w:color="auto" w:fill="auto"/>
            <w:vAlign w:val="center"/>
          </w:tcPr>
          <w:p>
            <w:pPr>
              <w:spacing w:line="300" w:lineRule="exact"/>
              <w:jc w:val="center"/>
              <w:rPr>
                <w:rFonts w:ascii="仿宋" w:hAnsi="仿宋" w:eastAsia="仿宋"/>
              </w:rPr>
            </w:pPr>
            <w:r>
              <w:rPr>
                <w:rFonts w:hint="eastAsia" w:ascii="仿宋" w:hAnsi="仿宋" w:eastAsia="仿宋"/>
              </w:rPr>
              <w:t>副处</w:t>
            </w:r>
            <w:r>
              <w:rPr>
                <w:rFonts w:ascii="仿宋" w:hAnsi="仿宋" w:eastAsia="仿宋"/>
              </w:rPr>
              <w:t>级</w:t>
            </w:r>
          </w:p>
        </w:tc>
        <w:tc>
          <w:tcPr>
            <w:tcW w:w="3013" w:type="dxa"/>
            <w:shd w:val="clear" w:color="auto" w:fill="auto"/>
            <w:vAlign w:val="center"/>
          </w:tcPr>
          <w:p>
            <w:pPr>
              <w:spacing w:line="300" w:lineRule="exact"/>
              <w:jc w:val="center"/>
              <w:rPr>
                <w:rFonts w:ascii="仿宋" w:hAnsi="仿宋" w:eastAsia="仿宋"/>
              </w:rPr>
            </w:pPr>
            <w:r>
              <w:rPr>
                <w:rFonts w:hint="eastAsia" w:ascii="仿宋" w:hAnsi="仿宋" w:eastAsia="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359" w:type="dxa"/>
            <w:shd w:val="clear" w:color="auto" w:fill="auto"/>
            <w:vAlign w:val="center"/>
          </w:tcPr>
          <w:p>
            <w:pPr>
              <w:spacing w:line="300" w:lineRule="exact"/>
              <w:jc w:val="center"/>
              <w:rPr>
                <w:rFonts w:ascii="仿宋" w:hAnsi="仿宋" w:eastAsia="仿宋"/>
              </w:rPr>
            </w:pPr>
            <w:r>
              <w:rPr>
                <w:rFonts w:hint="eastAsia" w:ascii="仿宋" w:hAnsi="仿宋" w:eastAsia="仿宋"/>
              </w:rPr>
              <w:t>创业服务中心</w:t>
            </w:r>
          </w:p>
        </w:tc>
        <w:tc>
          <w:tcPr>
            <w:tcW w:w="1134" w:type="dxa"/>
            <w:shd w:val="clear" w:color="auto" w:fill="auto"/>
            <w:vAlign w:val="center"/>
          </w:tcPr>
          <w:p>
            <w:pPr>
              <w:spacing w:line="300" w:lineRule="exact"/>
              <w:jc w:val="center"/>
              <w:rPr>
                <w:rFonts w:ascii="仿宋" w:hAnsi="仿宋" w:eastAsia="仿宋"/>
              </w:rPr>
            </w:pPr>
            <w:r>
              <w:rPr>
                <w:rFonts w:hint="eastAsia" w:ascii="仿宋" w:hAnsi="仿宋" w:eastAsia="仿宋"/>
              </w:rPr>
              <w:t>事业</w:t>
            </w:r>
          </w:p>
        </w:tc>
        <w:tc>
          <w:tcPr>
            <w:tcW w:w="1276" w:type="dxa"/>
            <w:shd w:val="clear" w:color="auto" w:fill="auto"/>
            <w:vAlign w:val="center"/>
          </w:tcPr>
          <w:p>
            <w:pPr>
              <w:spacing w:line="300" w:lineRule="exact"/>
              <w:jc w:val="center"/>
              <w:rPr>
                <w:rFonts w:ascii="仿宋" w:hAnsi="仿宋" w:eastAsia="仿宋"/>
              </w:rPr>
            </w:pPr>
            <w:r>
              <w:rPr>
                <w:rFonts w:hint="eastAsia" w:ascii="仿宋" w:hAnsi="仿宋" w:eastAsia="仿宋"/>
              </w:rPr>
              <w:t>副</w:t>
            </w:r>
            <w:r>
              <w:rPr>
                <w:rFonts w:ascii="仿宋" w:hAnsi="仿宋" w:eastAsia="仿宋"/>
              </w:rPr>
              <w:t>科级</w:t>
            </w:r>
          </w:p>
        </w:tc>
        <w:tc>
          <w:tcPr>
            <w:tcW w:w="3013" w:type="dxa"/>
            <w:shd w:val="clear" w:color="auto" w:fill="auto"/>
            <w:vAlign w:val="center"/>
          </w:tcPr>
          <w:p>
            <w:pPr>
              <w:spacing w:line="300" w:lineRule="exact"/>
              <w:jc w:val="center"/>
              <w:rPr>
                <w:rFonts w:ascii="仿宋" w:hAnsi="仿宋" w:eastAsia="仿宋"/>
              </w:rPr>
            </w:pPr>
            <w:r>
              <w:rPr>
                <w:rFonts w:hint="eastAsia" w:ascii="仿宋" w:hAnsi="仿宋" w:eastAsia="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center"/>
              <w:rPr>
                <w:rFonts w:ascii="方正书宋_GBK" w:eastAsia="方正书宋_GBK"/>
              </w:rPr>
            </w:pPr>
          </w:p>
        </w:tc>
        <w:tc>
          <w:tcPr>
            <w:tcW w:w="1276" w:type="dxa"/>
            <w:shd w:val="clear" w:color="auto" w:fill="auto"/>
            <w:vAlign w:val="center"/>
          </w:tcPr>
          <w:p>
            <w:pPr>
              <w:spacing w:line="300" w:lineRule="exact"/>
              <w:jc w:val="center"/>
              <w:rPr>
                <w:rFonts w:ascii="方正书宋_GBK" w:eastAsia="方正书宋_GBK"/>
              </w:rPr>
            </w:pPr>
          </w:p>
        </w:tc>
        <w:tc>
          <w:tcPr>
            <w:tcW w:w="3013" w:type="dxa"/>
            <w:shd w:val="clear" w:color="auto" w:fill="auto"/>
            <w:vAlign w:val="center"/>
          </w:tcPr>
          <w:p>
            <w:pPr>
              <w:spacing w:line="300" w:lineRule="exact"/>
              <w:jc w:val="center"/>
              <w:rPr>
                <w:rFonts w:ascii="方正书宋_GBK" w:eastAsia="方正书宋_GBK"/>
              </w:rPr>
            </w:pP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 w:hAnsi="仿宋" w:eastAsia="仿宋" w:cs="Times New Roman"/>
          <w:sz w:val="32"/>
          <w:szCs w:val="32"/>
        </w:rPr>
      </w:pPr>
      <w:r>
        <w:rPr>
          <w:rFonts w:ascii="仿宋" w:hAnsi="仿宋" w:eastAsia="仿宋" w:cs="Times New Roman"/>
          <w:sz w:val="32"/>
          <w:szCs w:val="32"/>
        </w:rPr>
        <w:t>1、收入说明</w:t>
      </w:r>
    </w:p>
    <w:p>
      <w:pPr>
        <w:ind w:firstLine="640"/>
        <w:rPr>
          <w:rFonts w:ascii="仿宋" w:hAnsi="仿宋" w:eastAsia="仿宋" w:cs="Times New Roman"/>
          <w:sz w:val="32"/>
          <w:szCs w:val="32"/>
        </w:rPr>
      </w:pPr>
      <w:r>
        <w:rPr>
          <w:rFonts w:hint="eastAsia" w:ascii="仿宋" w:hAnsi="仿宋" w:eastAsia="仿宋" w:cs="Times New Roman"/>
          <w:sz w:val="32"/>
          <w:szCs w:val="32"/>
        </w:rPr>
        <w:t>2019年度河北宽城经济开发区预算收入合计为</w:t>
      </w:r>
      <w:r>
        <w:rPr>
          <w:rFonts w:ascii="仿宋" w:hAnsi="仿宋" w:eastAsia="仿宋" w:cs="Times New Roman"/>
          <w:sz w:val="32"/>
          <w:szCs w:val="32"/>
        </w:rPr>
        <w:t>251.90</w:t>
      </w:r>
      <w:r>
        <w:rPr>
          <w:rFonts w:hint="eastAsia" w:ascii="仿宋" w:hAnsi="仿宋" w:eastAsia="仿宋" w:cs="Times New Roman"/>
          <w:sz w:val="32"/>
          <w:szCs w:val="32"/>
        </w:rPr>
        <w:t>万元，其中：财政拨款收入</w:t>
      </w:r>
      <w:r>
        <w:rPr>
          <w:rFonts w:ascii="仿宋" w:hAnsi="仿宋" w:eastAsia="仿宋" w:cs="Times New Roman"/>
          <w:sz w:val="32"/>
          <w:szCs w:val="32"/>
        </w:rPr>
        <w:t>251.90</w:t>
      </w:r>
      <w:r>
        <w:rPr>
          <w:rFonts w:hint="eastAsia" w:ascii="仿宋" w:hAnsi="仿宋" w:eastAsia="仿宋" w:cs="Times New Roman"/>
          <w:sz w:val="32"/>
          <w:szCs w:val="32"/>
        </w:rPr>
        <w:t>万元（一般公共预算</w:t>
      </w:r>
      <w:r>
        <w:rPr>
          <w:rFonts w:ascii="仿宋" w:hAnsi="仿宋" w:eastAsia="仿宋" w:cs="Times New Roman"/>
          <w:sz w:val="32"/>
          <w:szCs w:val="32"/>
        </w:rPr>
        <w:t>251.90</w:t>
      </w:r>
      <w:r>
        <w:rPr>
          <w:rFonts w:hint="eastAsia" w:ascii="仿宋" w:hAnsi="仿宋" w:eastAsia="仿宋" w:cs="Times New Roman"/>
          <w:sz w:val="32"/>
          <w:szCs w:val="32"/>
        </w:rPr>
        <w:t>万元、政府性基金预算0万元、国有资本经营预算安排0万元）、上级补助收入0万元、事业收入0万元、经营收入0万元、附属单位上缴收入0万元、其他收入0万元。。</w:t>
      </w:r>
    </w:p>
    <w:p>
      <w:pPr>
        <w:ind w:firstLine="640"/>
        <w:rPr>
          <w:rFonts w:ascii="仿宋" w:hAnsi="仿宋" w:eastAsia="仿宋" w:cs="Times New Roman"/>
          <w:sz w:val="32"/>
          <w:szCs w:val="32"/>
        </w:rPr>
      </w:pPr>
      <w:r>
        <w:rPr>
          <w:rFonts w:ascii="仿宋" w:hAnsi="仿宋" w:eastAsia="仿宋" w:cs="Times New Roman"/>
          <w:sz w:val="32"/>
          <w:szCs w:val="32"/>
        </w:rPr>
        <w:t>2、支出说明</w:t>
      </w:r>
    </w:p>
    <w:p>
      <w:pPr>
        <w:ind w:firstLine="640"/>
        <w:rPr>
          <w:rFonts w:ascii="仿宋" w:hAnsi="仿宋" w:eastAsia="仿宋" w:cs="Times New Roman"/>
          <w:sz w:val="32"/>
          <w:szCs w:val="32"/>
        </w:rPr>
      </w:pPr>
      <w:r>
        <w:rPr>
          <w:rFonts w:hint="eastAsia" w:ascii="仿宋" w:hAnsi="仿宋" w:eastAsia="仿宋" w:cs="Times New Roman"/>
          <w:sz w:val="32"/>
          <w:szCs w:val="32"/>
        </w:rPr>
        <w:t>2019年度河北宽城经济开发区预算收入合计</w:t>
      </w:r>
      <w:r>
        <w:rPr>
          <w:rFonts w:ascii="仿宋" w:hAnsi="仿宋" w:eastAsia="仿宋" w:cs="Times New Roman"/>
          <w:sz w:val="32"/>
          <w:szCs w:val="32"/>
        </w:rPr>
        <w:t>251.90</w:t>
      </w:r>
      <w:r>
        <w:rPr>
          <w:rFonts w:hint="eastAsia" w:ascii="仿宋" w:hAnsi="仿宋" w:eastAsia="仿宋" w:cs="Times New Roman"/>
          <w:sz w:val="32"/>
          <w:szCs w:val="32"/>
        </w:rPr>
        <w:t>万元，全部为一般公共预算财政拨款，其中一般公共服务支出</w:t>
      </w:r>
      <w:r>
        <w:rPr>
          <w:rFonts w:ascii="仿宋" w:hAnsi="仿宋" w:eastAsia="仿宋" w:cs="Times New Roman"/>
          <w:sz w:val="32"/>
          <w:szCs w:val="32"/>
        </w:rPr>
        <w:t>193.45</w:t>
      </w:r>
      <w:r>
        <w:rPr>
          <w:rFonts w:hint="eastAsia" w:ascii="仿宋" w:hAnsi="仿宋" w:eastAsia="仿宋" w:cs="Times New Roman"/>
          <w:sz w:val="32"/>
          <w:szCs w:val="32"/>
        </w:rPr>
        <w:t>万元、社会保障和就业支出</w:t>
      </w:r>
      <w:r>
        <w:rPr>
          <w:rFonts w:ascii="仿宋" w:hAnsi="仿宋" w:eastAsia="仿宋" w:cs="Times New Roman"/>
          <w:sz w:val="32"/>
          <w:szCs w:val="32"/>
        </w:rPr>
        <w:t>30.36</w:t>
      </w:r>
      <w:r>
        <w:rPr>
          <w:rFonts w:hint="eastAsia" w:ascii="仿宋" w:hAnsi="仿宋" w:eastAsia="仿宋" w:cs="Times New Roman"/>
          <w:sz w:val="32"/>
          <w:szCs w:val="32"/>
        </w:rPr>
        <w:t>万元、卫生健康支出</w:t>
      </w:r>
      <w:r>
        <w:rPr>
          <w:rFonts w:ascii="仿宋" w:hAnsi="仿宋" w:eastAsia="仿宋" w:cs="Times New Roman"/>
          <w:sz w:val="32"/>
          <w:szCs w:val="32"/>
        </w:rPr>
        <w:t>9.87</w:t>
      </w:r>
      <w:r>
        <w:rPr>
          <w:rFonts w:hint="eastAsia" w:ascii="仿宋" w:hAnsi="仿宋" w:eastAsia="仿宋" w:cs="Times New Roman"/>
          <w:sz w:val="32"/>
          <w:szCs w:val="32"/>
        </w:rPr>
        <w:t>万元、住房保障支出</w:t>
      </w:r>
      <w:r>
        <w:rPr>
          <w:rFonts w:ascii="仿宋" w:hAnsi="仿宋" w:eastAsia="仿宋" w:cs="Times New Roman"/>
          <w:sz w:val="32"/>
          <w:szCs w:val="32"/>
        </w:rPr>
        <w:t>18.22</w:t>
      </w:r>
      <w:r>
        <w:rPr>
          <w:rFonts w:hint="eastAsia" w:ascii="仿宋" w:hAnsi="仿宋" w:eastAsia="仿宋" w:cs="Times New Roman"/>
          <w:sz w:val="32"/>
          <w:szCs w:val="32"/>
        </w:rPr>
        <w:t>万元。</w:t>
      </w:r>
    </w:p>
    <w:p>
      <w:pPr>
        <w:ind w:firstLine="640"/>
        <w:rPr>
          <w:rFonts w:ascii="Times New Roman" w:hAnsi="Times New Roman" w:eastAsia="方正仿宋_GBK" w:cs="Times New Roman"/>
          <w:sz w:val="32"/>
          <w:szCs w:val="32"/>
        </w:rPr>
      </w:pPr>
      <w:r>
        <w:rPr>
          <w:rFonts w:ascii="仿宋" w:hAnsi="仿宋" w:eastAsia="仿宋" w:cs="Times New Roman"/>
          <w:sz w:val="32"/>
          <w:szCs w:val="32"/>
        </w:rPr>
        <w:t>3、比上年增减情况</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2019年度预算收入比上年增加55.57万元，</w:t>
      </w:r>
      <w:r>
        <w:rPr>
          <w:rFonts w:ascii="仿宋_GB2312" w:hAnsi="黑体" w:eastAsia="仿宋_GB2312" w:cs="Times New Roman"/>
          <w:sz w:val="32"/>
          <w:szCs w:val="32"/>
        </w:rPr>
        <w:t>同比</w:t>
      </w:r>
      <w:r>
        <w:rPr>
          <w:rFonts w:hint="eastAsia" w:ascii="仿宋_GB2312" w:hAnsi="黑体" w:eastAsia="仿宋_GB2312" w:cs="Times New Roman"/>
          <w:sz w:val="32"/>
          <w:szCs w:val="32"/>
        </w:rPr>
        <w:t>增长28.30</w:t>
      </w:r>
      <w:r>
        <w:rPr>
          <w:rFonts w:ascii="仿宋_GB2312" w:hAnsi="黑体" w:eastAsia="仿宋_GB2312" w:cs="Times New Roman"/>
          <w:sz w:val="32"/>
          <w:szCs w:val="32"/>
        </w:rPr>
        <w:t>%</w:t>
      </w:r>
      <w:r>
        <w:rPr>
          <w:rFonts w:hint="eastAsia" w:ascii="仿宋_GB2312" w:hAnsi="黑体" w:eastAsia="仿宋_GB2312" w:cs="Times New Roman"/>
          <w:sz w:val="32"/>
          <w:szCs w:val="32"/>
        </w:rPr>
        <w:t>，</w:t>
      </w:r>
      <w:r>
        <w:rPr>
          <w:rFonts w:ascii="仿宋_GB2312" w:hAnsi="黑体" w:eastAsia="仿宋_GB2312" w:cs="Times New Roman"/>
          <w:sz w:val="32"/>
          <w:szCs w:val="32"/>
        </w:rPr>
        <w:t>增长</w:t>
      </w:r>
      <w:r>
        <w:rPr>
          <w:rFonts w:hint="eastAsia" w:ascii="仿宋_GB2312" w:hAnsi="黑体" w:eastAsia="仿宋_GB2312" w:cs="Times New Roman"/>
          <w:sz w:val="32"/>
          <w:szCs w:val="32"/>
        </w:rPr>
        <w:t>主要原因为在职人员比上年增加4人。2019年度预算支出比上年增加55.57万元，同比增长28.30%，增长主要原因为在职人员比上年增加4人。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2019年河北宽城经济开发区机关运行经费预算安排</w:t>
      </w:r>
      <w:r>
        <w:rPr>
          <w:rFonts w:ascii="仿宋_GB2312" w:hAnsi="黑体" w:eastAsia="仿宋_GB2312" w:cs="Times New Roman"/>
          <w:sz w:val="32"/>
          <w:szCs w:val="32"/>
        </w:rPr>
        <w:t>251.90</w:t>
      </w:r>
      <w:r>
        <w:rPr>
          <w:rFonts w:hint="eastAsia" w:ascii="仿宋_GB2312" w:hAnsi="黑体" w:eastAsia="仿宋_GB2312" w:cs="Times New Roman"/>
          <w:sz w:val="32"/>
          <w:szCs w:val="32"/>
        </w:rPr>
        <w:t>万元，比上年增加55.57万元，同比增长28.30%，增长主要原因为在职人员比上年增加4人。</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其中：基本工资</w:t>
      </w:r>
      <w:r>
        <w:rPr>
          <w:rFonts w:ascii="仿宋_GB2312" w:hAnsi="黑体" w:eastAsia="仿宋_GB2312" w:cs="Times New Roman"/>
          <w:sz w:val="32"/>
          <w:szCs w:val="32"/>
        </w:rPr>
        <w:t>74.92</w:t>
      </w:r>
      <w:r>
        <w:rPr>
          <w:rFonts w:hint="eastAsia" w:ascii="仿宋_GB2312" w:hAnsi="黑体" w:eastAsia="仿宋_GB2312" w:cs="Times New Roman"/>
          <w:sz w:val="32"/>
          <w:szCs w:val="32"/>
        </w:rPr>
        <w:t>万元，津贴补贴</w:t>
      </w:r>
      <w:r>
        <w:rPr>
          <w:rFonts w:ascii="仿宋_GB2312" w:hAnsi="黑体" w:eastAsia="仿宋_GB2312" w:cs="Times New Roman"/>
          <w:sz w:val="32"/>
          <w:szCs w:val="32"/>
        </w:rPr>
        <w:t>65.89</w:t>
      </w:r>
      <w:r>
        <w:rPr>
          <w:rFonts w:hint="eastAsia" w:ascii="仿宋_GB2312" w:hAnsi="黑体" w:eastAsia="仿宋_GB2312" w:cs="Times New Roman"/>
          <w:sz w:val="32"/>
          <w:szCs w:val="32"/>
        </w:rPr>
        <w:t>万元，奖金</w:t>
      </w:r>
      <w:r>
        <w:rPr>
          <w:rFonts w:ascii="仿宋_GB2312" w:hAnsi="黑体" w:eastAsia="仿宋_GB2312" w:cs="Times New Roman"/>
          <w:sz w:val="32"/>
          <w:szCs w:val="32"/>
        </w:rPr>
        <w:t>6.25</w:t>
      </w:r>
      <w:r>
        <w:rPr>
          <w:rFonts w:hint="eastAsia" w:ascii="仿宋_GB2312" w:hAnsi="黑体" w:eastAsia="仿宋_GB2312" w:cs="Times New Roman"/>
          <w:sz w:val="32"/>
          <w:szCs w:val="32"/>
        </w:rPr>
        <w:t>万元，绩效工资</w:t>
      </w:r>
      <w:r>
        <w:rPr>
          <w:rFonts w:ascii="仿宋_GB2312" w:hAnsi="黑体" w:eastAsia="仿宋_GB2312" w:cs="Times New Roman"/>
          <w:sz w:val="32"/>
          <w:szCs w:val="32"/>
        </w:rPr>
        <w:t>16.72</w:t>
      </w:r>
      <w:r>
        <w:rPr>
          <w:rFonts w:hint="eastAsia" w:ascii="仿宋_GB2312" w:hAnsi="黑体" w:eastAsia="仿宋_GB2312" w:cs="Times New Roman"/>
          <w:sz w:val="32"/>
          <w:szCs w:val="32"/>
        </w:rPr>
        <w:t>万元，机关事业单位基本养老保险缴费</w:t>
      </w:r>
      <w:r>
        <w:rPr>
          <w:rFonts w:ascii="仿宋_GB2312" w:hAnsi="黑体" w:eastAsia="仿宋_GB2312" w:cs="Times New Roman"/>
          <w:sz w:val="32"/>
          <w:szCs w:val="32"/>
        </w:rPr>
        <w:t>30.36</w:t>
      </w:r>
      <w:r>
        <w:rPr>
          <w:rFonts w:hint="eastAsia" w:ascii="仿宋_GB2312" w:hAnsi="黑体" w:eastAsia="仿宋_GB2312" w:cs="Times New Roman"/>
          <w:sz w:val="32"/>
          <w:szCs w:val="32"/>
        </w:rPr>
        <w:t>万元，城镇职工基本医疗保险缴费</w:t>
      </w:r>
      <w:r>
        <w:rPr>
          <w:rFonts w:ascii="仿宋_GB2312" w:hAnsi="黑体" w:eastAsia="仿宋_GB2312" w:cs="Times New Roman"/>
          <w:sz w:val="32"/>
          <w:szCs w:val="32"/>
        </w:rPr>
        <w:t>9.87</w:t>
      </w:r>
      <w:r>
        <w:rPr>
          <w:rFonts w:hint="eastAsia" w:ascii="仿宋_GB2312" w:hAnsi="黑体" w:eastAsia="仿宋_GB2312" w:cs="Times New Roman"/>
          <w:sz w:val="32"/>
          <w:szCs w:val="32"/>
        </w:rPr>
        <w:t>万元，其他社会保障缴费</w:t>
      </w:r>
      <w:r>
        <w:rPr>
          <w:rFonts w:ascii="仿宋_GB2312" w:hAnsi="黑体" w:eastAsia="仿宋_GB2312" w:cs="Times New Roman"/>
          <w:sz w:val="32"/>
          <w:szCs w:val="32"/>
        </w:rPr>
        <w:t>1.38</w:t>
      </w:r>
      <w:r>
        <w:rPr>
          <w:rFonts w:hint="eastAsia" w:ascii="仿宋_GB2312" w:hAnsi="黑体" w:eastAsia="仿宋_GB2312" w:cs="Times New Roman"/>
          <w:sz w:val="32"/>
          <w:szCs w:val="32"/>
        </w:rPr>
        <w:t>万元，住房公积金</w:t>
      </w:r>
      <w:r>
        <w:rPr>
          <w:rFonts w:ascii="仿宋_GB2312" w:hAnsi="黑体" w:eastAsia="仿宋_GB2312" w:cs="Times New Roman"/>
          <w:sz w:val="32"/>
          <w:szCs w:val="32"/>
        </w:rPr>
        <w:t>18.22</w:t>
      </w:r>
      <w:r>
        <w:rPr>
          <w:rFonts w:hint="eastAsia" w:ascii="仿宋_GB2312" w:hAnsi="黑体" w:eastAsia="仿宋_GB2312" w:cs="Times New Roman"/>
          <w:sz w:val="32"/>
          <w:szCs w:val="32"/>
        </w:rPr>
        <w:t>万元，办公费</w:t>
      </w:r>
      <w:r>
        <w:rPr>
          <w:rFonts w:ascii="仿宋_GB2312" w:hAnsi="黑体" w:eastAsia="仿宋_GB2312" w:cs="Times New Roman"/>
          <w:sz w:val="32"/>
          <w:szCs w:val="32"/>
        </w:rPr>
        <w:t>1.00</w:t>
      </w:r>
      <w:r>
        <w:rPr>
          <w:rFonts w:hint="eastAsia" w:ascii="仿宋_GB2312" w:hAnsi="黑体" w:eastAsia="仿宋_GB2312" w:cs="Times New Roman"/>
          <w:sz w:val="32"/>
          <w:szCs w:val="32"/>
        </w:rPr>
        <w:t>万元，水费</w:t>
      </w:r>
      <w:r>
        <w:rPr>
          <w:rFonts w:ascii="仿宋_GB2312" w:hAnsi="黑体" w:eastAsia="仿宋_GB2312" w:cs="Times New Roman"/>
          <w:sz w:val="32"/>
          <w:szCs w:val="32"/>
        </w:rPr>
        <w:t>0.30</w:t>
      </w:r>
      <w:r>
        <w:rPr>
          <w:rFonts w:hint="eastAsia" w:ascii="仿宋_GB2312" w:hAnsi="黑体" w:eastAsia="仿宋_GB2312" w:cs="Times New Roman"/>
          <w:sz w:val="32"/>
          <w:szCs w:val="32"/>
        </w:rPr>
        <w:t>万元，电费</w:t>
      </w:r>
      <w:r>
        <w:rPr>
          <w:rFonts w:ascii="仿宋_GB2312" w:hAnsi="黑体" w:eastAsia="仿宋_GB2312" w:cs="Times New Roman"/>
          <w:sz w:val="32"/>
          <w:szCs w:val="32"/>
        </w:rPr>
        <w:t>0.30</w:t>
      </w:r>
      <w:r>
        <w:rPr>
          <w:rFonts w:hint="eastAsia" w:ascii="仿宋_GB2312" w:hAnsi="黑体" w:eastAsia="仿宋_GB2312" w:cs="Times New Roman"/>
          <w:sz w:val="32"/>
          <w:szCs w:val="32"/>
        </w:rPr>
        <w:t>万元，邮电费7.25万元，差旅费1.00万元，会议费0.03万元，公务接待费1.80万元，工会经费1.75万元，福利费1.88万元，公务用车运行维护费2</w:t>
      </w:r>
      <w:r>
        <w:rPr>
          <w:rFonts w:ascii="仿宋_GB2312" w:hAnsi="黑体" w:eastAsia="仿宋_GB2312" w:cs="Times New Roman"/>
          <w:sz w:val="32"/>
          <w:szCs w:val="32"/>
        </w:rPr>
        <w:t>.00</w:t>
      </w:r>
      <w:r>
        <w:rPr>
          <w:rFonts w:hint="eastAsia" w:ascii="仿宋_GB2312" w:hAnsi="黑体" w:eastAsia="仿宋_GB2312" w:cs="Times New Roman"/>
          <w:sz w:val="32"/>
          <w:szCs w:val="32"/>
        </w:rPr>
        <w:t>万元，其他交通费用1</w:t>
      </w:r>
      <w:r>
        <w:rPr>
          <w:rFonts w:ascii="仿宋_GB2312" w:hAnsi="黑体" w:eastAsia="仿宋_GB2312" w:cs="Times New Roman"/>
          <w:sz w:val="32"/>
          <w:szCs w:val="32"/>
        </w:rPr>
        <w:t>0.92</w:t>
      </w:r>
      <w:r>
        <w:rPr>
          <w:rFonts w:hint="eastAsia" w:ascii="仿宋_GB2312" w:hAnsi="黑体" w:eastAsia="仿宋_GB2312" w:cs="Times New Roman"/>
          <w:sz w:val="32"/>
          <w:szCs w:val="32"/>
        </w:rPr>
        <w:t>万元，奖励金0.06万元。</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shd w:val="clear" w:color="auto" w:fill="FFFFFF"/>
        <w:spacing w:line="580" w:lineRule="exact"/>
        <w:ind w:firstLine="640"/>
        <w:jc w:val="left"/>
        <w:rPr>
          <w:rFonts w:hint="eastAsia" w:ascii="方正仿宋_GBK" w:hAnsi="Simsun" w:eastAsia="方正仿宋_GBK" w:cs="宋体"/>
          <w:color w:val="000000"/>
          <w:kern w:val="0"/>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年，我单位财政拨款“三公”经费预算安排3.8万元，其中因公出国（境）费0万元</w:t>
      </w:r>
      <w:r>
        <w:rPr>
          <w:rFonts w:hint="eastAsia" w:ascii="仿宋" w:hAnsi="仿宋" w:eastAsia="仿宋" w:cs="Times New Roman"/>
          <w:sz w:val="32"/>
          <w:szCs w:val="32"/>
        </w:rPr>
        <w:t>，与上年持平，无增减变化</w:t>
      </w:r>
      <w:r>
        <w:rPr>
          <w:rFonts w:ascii="仿宋" w:hAnsi="仿宋" w:eastAsia="仿宋" w:cs="Times New Roman"/>
          <w:sz w:val="32"/>
          <w:szCs w:val="32"/>
        </w:rPr>
        <w:t>；公务用车购置及运维费2万元（其中：公务用车购置费为0</w:t>
      </w:r>
      <w:r>
        <w:rPr>
          <w:rFonts w:hint="eastAsia" w:ascii="仿宋" w:hAnsi="仿宋" w:eastAsia="仿宋" w:cs="Times New Roman"/>
          <w:sz w:val="32"/>
          <w:szCs w:val="32"/>
        </w:rPr>
        <w:t>万元</w:t>
      </w:r>
      <w:r>
        <w:rPr>
          <w:rFonts w:ascii="仿宋" w:hAnsi="仿宋" w:eastAsia="仿宋" w:cs="Times New Roman"/>
          <w:sz w:val="32"/>
          <w:szCs w:val="32"/>
        </w:rPr>
        <w:t>，公务用车运</w:t>
      </w:r>
      <w:r>
        <w:rPr>
          <w:rFonts w:hint="eastAsia" w:ascii="仿宋" w:hAnsi="仿宋" w:eastAsia="仿宋" w:cs="Times New Roman"/>
          <w:sz w:val="32"/>
          <w:szCs w:val="32"/>
        </w:rPr>
        <w:t>维</w:t>
      </w:r>
      <w:r>
        <w:rPr>
          <w:rFonts w:ascii="仿宋" w:hAnsi="仿宋" w:eastAsia="仿宋" w:cs="Times New Roman"/>
          <w:sz w:val="32"/>
          <w:szCs w:val="32"/>
        </w:rPr>
        <w:t>费2万元)</w:t>
      </w:r>
      <w:r>
        <w:rPr>
          <w:rFonts w:hint="eastAsia" w:ascii="仿宋" w:hAnsi="仿宋" w:eastAsia="仿宋" w:cs="Times New Roman"/>
          <w:sz w:val="32"/>
          <w:szCs w:val="32"/>
        </w:rPr>
        <w:t>，与上年持平，无增减变化</w:t>
      </w:r>
      <w:r>
        <w:rPr>
          <w:rFonts w:ascii="仿宋" w:hAnsi="仿宋" w:eastAsia="仿宋" w:cs="Times New Roman"/>
          <w:sz w:val="32"/>
          <w:szCs w:val="32"/>
        </w:rPr>
        <w:t>；公务接待费1.8万元</w:t>
      </w:r>
      <w:r>
        <w:rPr>
          <w:rFonts w:hint="eastAsia" w:ascii="仿宋" w:hAnsi="仿宋" w:eastAsia="仿宋" w:cs="Times New Roman"/>
          <w:sz w:val="32"/>
          <w:szCs w:val="32"/>
        </w:rPr>
        <w:t>，</w:t>
      </w:r>
      <w:r>
        <w:rPr>
          <w:rFonts w:ascii="仿宋" w:hAnsi="仿宋" w:eastAsia="仿宋" w:cs="Times New Roman"/>
          <w:sz w:val="32"/>
          <w:szCs w:val="32"/>
        </w:rPr>
        <w:t>比</w:t>
      </w:r>
      <w:r>
        <w:rPr>
          <w:rFonts w:hint="eastAsia" w:ascii="仿宋" w:hAnsi="仿宋" w:eastAsia="仿宋" w:cs="Times New Roman"/>
          <w:sz w:val="32"/>
          <w:szCs w:val="32"/>
        </w:rPr>
        <w:t>上年减少0.2万元，</w:t>
      </w:r>
      <w:r>
        <w:rPr>
          <w:rFonts w:ascii="仿宋" w:hAnsi="仿宋" w:eastAsia="仿宋" w:cs="Times New Roman"/>
          <w:sz w:val="32"/>
          <w:szCs w:val="32"/>
        </w:rPr>
        <w:t>下降</w:t>
      </w:r>
      <w:r>
        <w:rPr>
          <w:rFonts w:hint="eastAsia" w:ascii="仿宋" w:hAnsi="仿宋" w:eastAsia="仿宋" w:cs="Times New Roman"/>
          <w:sz w:val="32"/>
          <w:szCs w:val="32"/>
        </w:rPr>
        <w:t>10</w:t>
      </w:r>
      <w:r>
        <w:rPr>
          <w:rFonts w:ascii="仿宋" w:hAnsi="仿宋" w:eastAsia="仿宋" w:cs="Times New Roman"/>
          <w:sz w:val="32"/>
          <w:szCs w:val="32"/>
        </w:rPr>
        <w:t>%。</w:t>
      </w:r>
      <w:r>
        <w:rPr>
          <w:rFonts w:hint="eastAsia" w:ascii="仿宋" w:hAnsi="仿宋" w:eastAsia="仿宋" w:cs="Times New Roman"/>
          <w:sz w:val="32"/>
          <w:szCs w:val="32"/>
        </w:rPr>
        <w:t>“三公”经费预算安排</w:t>
      </w:r>
      <w:r>
        <w:rPr>
          <w:rFonts w:ascii="仿宋" w:hAnsi="仿宋" w:eastAsia="仿宋" w:cs="Times New Roman"/>
          <w:sz w:val="32"/>
          <w:szCs w:val="32"/>
        </w:rPr>
        <w:t>与201</w:t>
      </w:r>
      <w:r>
        <w:rPr>
          <w:rFonts w:hint="eastAsia" w:ascii="仿宋" w:hAnsi="仿宋" w:eastAsia="仿宋" w:cs="Times New Roman"/>
          <w:sz w:val="32"/>
          <w:szCs w:val="32"/>
        </w:rPr>
        <w:t>8</w:t>
      </w:r>
      <w:r>
        <w:rPr>
          <w:rFonts w:ascii="仿宋" w:hAnsi="仿宋" w:eastAsia="仿宋" w:cs="Times New Roman"/>
          <w:sz w:val="32"/>
          <w:szCs w:val="32"/>
        </w:rPr>
        <w:t>年</w:t>
      </w:r>
      <w:r>
        <w:rPr>
          <w:rFonts w:hint="eastAsia" w:ascii="仿宋" w:hAnsi="仿宋" w:eastAsia="仿宋" w:cs="Times New Roman"/>
          <w:sz w:val="32"/>
          <w:szCs w:val="32"/>
        </w:rPr>
        <w:t>相比减少5%</w:t>
      </w:r>
      <w:r>
        <w:rPr>
          <w:rFonts w:ascii="仿宋" w:hAnsi="仿宋" w:eastAsia="仿宋" w:cs="Times New Roman"/>
          <w:sz w:val="32"/>
          <w:szCs w:val="32"/>
        </w:rPr>
        <w:t>，</w:t>
      </w:r>
      <w:r>
        <w:rPr>
          <w:rFonts w:hint="eastAsia" w:ascii="仿宋" w:hAnsi="仿宋" w:eastAsia="仿宋" w:cs="Times New Roman"/>
          <w:sz w:val="32"/>
          <w:szCs w:val="32"/>
        </w:rPr>
        <w:t>减少的主要原因是：我区严格落实中央八项规定，严格按标准接待，严控公务用车购置及日常使用，在各方面节约开支。</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仿宋" w:hAnsi="仿宋" w:eastAsia="仿宋" w:cs="Times New Roman"/>
          <w:b/>
          <w:sz w:val="32"/>
          <w:szCs w:val="32"/>
        </w:rPr>
      </w:pPr>
      <w:bookmarkStart w:id="0" w:name="_Toc471398463"/>
      <w:r>
        <w:rPr>
          <w:rFonts w:ascii="仿宋" w:hAnsi="仿宋" w:eastAsia="仿宋" w:cs="Times New Roman"/>
          <w:b/>
          <w:sz w:val="32"/>
          <w:szCs w:val="32"/>
        </w:rPr>
        <w:t xml:space="preserve">总体绩效目标： </w:t>
      </w:r>
    </w:p>
    <w:p>
      <w:pPr>
        <w:ind w:firstLine="560"/>
        <w:rPr>
          <w:rFonts w:ascii="仿宋" w:hAnsi="仿宋" w:eastAsia="仿宋" w:cs="Times New Roman"/>
          <w:sz w:val="32"/>
          <w:szCs w:val="32"/>
        </w:rPr>
      </w:pPr>
      <w:r>
        <w:rPr>
          <w:rFonts w:ascii="仿宋" w:hAnsi="仿宋" w:eastAsia="仿宋" w:cs="Times New Roman"/>
          <w:sz w:val="32"/>
          <w:szCs w:val="32"/>
        </w:rPr>
        <w:t>（一）</w:t>
      </w:r>
      <w:r>
        <w:rPr>
          <w:rFonts w:hint="eastAsia" w:ascii="仿宋" w:hAnsi="仿宋" w:eastAsia="仿宋" w:cs="Times New Roman"/>
          <w:sz w:val="32"/>
          <w:szCs w:val="32"/>
        </w:rPr>
        <w:t>突出抓好项目谋划工作目标。2019年，着力推进镕冠高铁大截面车体专用板生产线、新型绿色自保温建筑材料生产线、尾矿基发泡陶瓷保温材料、年产600万套家具等续建项目，采取项目包保责任制的措施，确保项目尽快建成投产。精心谋划好压力容器产业园、年产200万吨包装水、年产2万吨山楂系列食品智能化生产线、天宝水泥垃圾裂解发电、二甲醚技改、玄武岩基地制品产业集群建设、履带板及矿山耐磨产品先进制品、潜水污水电泵生产线建设、众城洁净型煤技改等前期推进项目，深入谋划和加强对接，争取项目早落地、早建设。</w:t>
      </w:r>
    </w:p>
    <w:p>
      <w:pPr>
        <w:ind w:firstLine="560"/>
        <w:rPr>
          <w:rFonts w:ascii="仿宋" w:hAnsi="仿宋" w:eastAsia="仿宋" w:cs="Times New Roman"/>
          <w:sz w:val="32"/>
          <w:szCs w:val="32"/>
        </w:rPr>
      </w:pPr>
      <w:r>
        <w:rPr>
          <w:rFonts w:hint="eastAsia" w:ascii="仿宋" w:hAnsi="仿宋" w:eastAsia="仿宋" w:cs="Times New Roman"/>
          <w:sz w:val="32"/>
          <w:szCs w:val="32"/>
        </w:rPr>
        <w:t>（二）持续推进园区基础设施建设目标。对标“九通一平”建设标准，不断完善开发区基础设施，加大问题排查力度，瞄准企业需求完善基础配套设施，帮助企业解决好建设发展中遇到的问题，减少企业后顾之忧。下一步，重点抓好升华压力厂区南侧和东侧连接路、佰能蓝天引路及桥梁等基础设施建设，满足企业建设发展需求。</w:t>
      </w:r>
    </w:p>
    <w:p>
      <w:pPr>
        <w:ind w:firstLine="560"/>
        <w:rPr>
          <w:rFonts w:ascii="仿宋" w:hAnsi="仿宋" w:eastAsia="仿宋" w:cs="Times New Roman"/>
          <w:sz w:val="32"/>
          <w:szCs w:val="32"/>
        </w:rPr>
      </w:pPr>
      <w:r>
        <w:rPr>
          <w:rFonts w:hint="eastAsia" w:ascii="仿宋" w:hAnsi="仿宋" w:eastAsia="仿宋" w:cs="Times New Roman"/>
          <w:sz w:val="32"/>
          <w:szCs w:val="32"/>
        </w:rPr>
        <w:t>（三）着力推进企业科技创新目标。一是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路桥开展创业创新。三是培育企业创新能力，推进高新技术企业发展。加快落实国家级、省级、市级科技计划项目申报，培育一批创新能力强、产业前景好、关联度大的科技项目，争取更多的上级资金和优惠政策扶持。加快推进两个“博士工作站”建设，打造产业科技创新高地。</w:t>
      </w:r>
    </w:p>
    <w:p>
      <w:pPr>
        <w:ind w:firstLine="560"/>
        <w:rPr>
          <w:rFonts w:ascii="仿宋" w:hAnsi="仿宋" w:eastAsia="仿宋" w:cs="Times New Roman"/>
          <w:sz w:val="32"/>
          <w:szCs w:val="32"/>
        </w:rPr>
      </w:pPr>
      <w:r>
        <w:rPr>
          <w:rFonts w:hint="eastAsia" w:ascii="仿宋" w:hAnsi="仿宋" w:eastAsia="仿宋" w:cs="Times New Roman"/>
          <w:sz w:val="32"/>
          <w:szCs w:val="32"/>
        </w:rPr>
        <w:t>（四）着力推进招商引资目标。将开发区招商工作融入县政府招商一盘棋，积极参与县政府招商办公室工作，大力开展精准招商。紧盯签约落地项目，加紧对接意向项目，扎实推进续建和新开工项目，不断扩大招商引资成果。</w:t>
      </w:r>
    </w:p>
    <w:p>
      <w:pPr>
        <w:ind w:firstLine="560"/>
        <w:rPr>
          <w:rFonts w:ascii="仿宋" w:hAnsi="仿宋" w:eastAsia="仿宋" w:cs="Times New Roman"/>
          <w:sz w:val="32"/>
          <w:szCs w:val="32"/>
        </w:rPr>
      </w:pPr>
      <w:r>
        <w:rPr>
          <w:rFonts w:hint="eastAsia" w:ascii="仿宋" w:hAnsi="仿宋" w:eastAsia="仿宋" w:cs="Times New Roman"/>
          <w:sz w:val="32"/>
          <w:szCs w:val="32"/>
        </w:rPr>
        <w:t>（五）深入推进开发区体制机制创新目标。严格落实省、市开发区改革工作部署，加大开发区改革工作力度，健全开发区领导班子，优化选人用人机制，落实全员聘用和绩效薪酬制度，调动人员工作积极性，激发开发区活力。</w:t>
      </w:r>
    </w:p>
    <w:p>
      <w:pPr>
        <w:ind w:firstLine="560"/>
        <w:rPr>
          <w:rFonts w:ascii="仿宋" w:hAnsi="仿宋" w:eastAsia="仿宋" w:cs="Times New Roman"/>
          <w:sz w:val="32"/>
          <w:szCs w:val="32"/>
        </w:rPr>
      </w:pPr>
      <w:r>
        <w:rPr>
          <w:rFonts w:hint="eastAsia" w:ascii="仿宋" w:hAnsi="仿宋" w:eastAsia="仿宋" w:cs="Times New Roman"/>
          <w:sz w:val="32"/>
          <w:szCs w:val="32"/>
        </w:rPr>
        <w:t>（六）加大项目建设监管力度目标。加强规范项目管理，严格落实相关法律法规和有关制度，强化相关部门监管责任，维护健康有序的市场经济秩序。</w:t>
      </w: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r>
        <w:rPr>
          <w:rFonts w:ascii="楷体_GB2312" w:hAnsi="Times New Roman" w:eastAsia="楷体_GB2312" w:cs="Times New Roman"/>
          <w:b/>
          <w:sz w:val="32"/>
          <w:szCs w:val="24"/>
        </w:rPr>
        <w:t xml:space="preserve"> </w:t>
      </w:r>
    </w:p>
    <w:p>
      <w:pPr>
        <w:jc w:val="center"/>
        <w:outlineLvl w:val="0"/>
        <w:rPr>
          <w:rFonts w:ascii="仿宋" w:hAnsi="仿宋" w:eastAsia="仿宋" w:cs="Times New Roman"/>
          <w:sz w:val="32"/>
          <w:szCs w:val="24"/>
        </w:rPr>
      </w:pPr>
      <w:r>
        <w:rPr>
          <w:rFonts w:hint="eastAsia" w:ascii="仿宋" w:hAnsi="仿宋" w:eastAsia="仿宋" w:cs="Times New Roman"/>
          <w:sz w:val="32"/>
          <w:szCs w:val="24"/>
        </w:rPr>
        <w:t>部门职责-工作活动绩效目标</w:t>
      </w:r>
      <w:bookmarkEnd w:id="0"/>
    </w:p>
    <w:p>
      <w:pPr>
        <w:jc w:val="right"/>
        <w:outlineLvl w:val="0"/>
        <w:rPr>
          <w:rFonts w:ascii="仿宋" w:hAnsi="仿宋" w:eastAsia="仿宋" w:cs="Times New Roman"/>
          <w:sz w:val="24"/>
          <w:szCs w:val="24"/>
        </w:rPr>
      </w:pPr>
      <w:r>
        <w:rPr>
          <w:rFonts w:hint="eastAsia" w:ascii="仿宋" w:hAnsi="仿宋" w:eastAsia="仿宋" w:cs="Times New Roman"/>
          <w:sz w:val="24"/>
          <w:szCs w:val="24"/>
        </w:rPr>
        <w:t>单位：</w:t>
      </w:r>
      <w:r>
        <w:rPr>
          <w:rFonts w:ascii="仿宋" w:hAnsi="仿宋" w:eastAsia="仿宋" w:cs="Times New Roman"/>
          <w:sz w:val="24"/>
          <w:szCs w:val="24"/>
        </w:rPr>
        <w:t>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职责活动</w:t>
            </w:r>
          </w:p>
        </w:tc>
        <w:tc>
          <w:tcPr>
            <w:tcW w:w="1276"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年度预算数</w:t>
            </w:r>
          </w:p>
        </w:tc>
        <w:tc>
          <w:tcPr>
            <w:tcW w:w="2976"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内容描述</w:t>
            </w:r>
          </w:p>
        </w:tc>
        <w:tc>
          <w:tcPr>
            <w:tcW w:w="2976"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绩效目标</w:t>
            </w:r>
          </w:p>
        </w:tc>
        <w:tc>
          <w:tcPr>
            <w:tcW w:w="1417"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绩效指标</w:t>
            </w:r>
          </w:p>
        </w:tc>
        <w:tc>
          <w:tcPr>
            <w:tcW w:w="2948" w:type="dxa"/>
            <w:gridSpan w:val="4"/>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评价标准</w:t>
            </w:r>
          </w:p>
        </w:tc>
      </w:tr>
      <w:tr>
        <w:trPr>
          <w:trHeight w:val="227" w:hRule="atLeast"/>
          <w:tblHeader/>
          <w:jc w:val="center"/>
        </w:trPr>
        <w:tc>
          <w:tcPr>
            <w:tcW w:w="2341" w:type="dxa"/>
            <w:vMerge w:val="continue"/>
            <w:vAlign w:val="center"/>
          </w:tcPr>
          <w:p>
            <w:pPr>
              <w:spacing w:line="300" w:lineRule="exact"/>
              <w:jc w:val="center"/>
              <w:rPr>
                <w:rFonts w:ascii="仿宋" w:hAnsi="仿宋" w:eastAsia="仿宋" w:cs="Times New Roman"/>
                <w:b/>
                <w:szCs w:val="21"/>
              </w:rPr>
            </w:pPr>
          </w:p>
        </w:tc>
        <w:tc>
          <w:tcPr>
            <w:tcW w:w="1276" w:type="dxa"/>
            <w:vMerge w:val="continue"/>
            <w:vAlign w:val="center"/>
          </w:tcPr>
          <w:p>
            <w:pPr>
              <w:spacing w:line="300" w:lineRule="exact"/>
              <w:jc w:val="center"/>
              <w:rPr>
                <w:rFonts w:ascii="仿宋" w:hAnsi="仿宋" w:eastAsia="仿宋" w:cs="Times New Roman"/>
                <w:b/>
                <w:szCs w:val="21"/>
              </w:rPr>
            </w:pPr>
          </w:p>
        </w:tc>
        <w:tc>
          <w:tcPr>
            <w:tcW w:w="2976" w:type="dxa"/>
            <w:vMerge w:val="continue"/>
            <w:vAlign w:val="center"/>
          </w:tcPr>
          <w:p>
            <w:pPr>
              <w:spacing w:line="300" w:lineRule="exact"/>
              <w:jc w:val="center"/>
              <w:rPr>
                <w:rFonts w:ascii="仿宋" w:hAnsi="仿宋" w:eastAsia="仿宋" w:cs="Times New Roman"/>
                <w:b/>
                <w:szCs w:val="21"/>
              </w:rPr>
            </w:pPr>
          </w:p>
        </w:tc>
        <w:tc>
          <w:tcPr>
            <w:tcW w:w="2976" w:type="dxa"/>
            <w:vMerge w:val="continue"/>
            <w:vAlign w:val="center"/>
          </w:tcPr>
          <w:p>
            <w:pPr>
              <w:spacing w:line="300" w:lineRule="exact"/>
              <w:jc w:val="center"/>
              <w:rPr>
                <w:rFonts w:ascii="仿宋" w:hAnsi="仿宋" w:eastAsia="仿宋" w:cs="Times New Roman"/>
                <w:b/>
                <w:szCs w:val="21"/>
              </w:rPr>
            </w:pPr>
          </w:p>
        </w:tc>
        <w:tc>
          <w:tcPr>
            <w:tcW w:w="1417" w:type="dxa"/>
            <w:vMerge w:val="continue"/>
            <w:vAlign w:val="center"/>
          </w:tcPr>
          <w:p>
            <w:pPr>
              <w:spacing w:line="300" w:lineRule="exact"/>
              <w:jc w:val="center"/>
              <w:rPr>
                <w:rFonts w:ascii="仿宋" w:hAnsi="仿宋" w:eastAsia="仿宋" w:cs="Times New Roman"/>
                <w:b/>
                <w:szCs w:val="21"/>
              </w:rPr>
            </w:pPr>
          </w:p>
        </w:tc>
        <w:tc>
          <w:tcPr>
            <w:tcW w:w="737"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优</w:t>
            </w:r>
          </w:p>
        </w:tc>
        <w:tc>
          <w:tcPr>
            <w:tcW w:w="737"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良</w:t>
            </w:r>
          </w:p>
        </w:tc>
        <w:tc>
          <w:tcPr>
            <w:tcW w:w="737"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中</w:t>
            </w:r>
          </w:p>
        </w:tc>
        <w:tc>
          <w:tcPr>
            <w:tcW w:w="737"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一、综合行政办公</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负责党工委、管委会会议组织和有关会务工作以及重大活动的组织工作；负责辖区内党群和干部、人事、机构编制工作；组织协调辖区内政法工作，负责人大代表、政协委员的联络工作；负责机关文秘、档案保管、机要、通讯、保密、政务督办、综合协调等工作；组织协调辖区内社会管理综合治理和维护稳定工作；负责辖区党的纪律检查工作；负责辖区工会、共青团、妇联等群团工作。</w:t>
            </w:r>
          </w:p>
        </w:tc>
        <w:tc>
          <w:tcPr>
            <w:tcW w:w="2976" w:type="dxa"/>
            <w:vAlign w:val="center"/>
          </w:tcPr>
          <w:p>
            <w:pPr>
              <w:spacing w:line="280" w:lineRule="exact"/>
              <w:jc w:val="lef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保障园区大型会议、重大活动的正常、顺利举办；</w:t>
            </w:r>
            <w:r>
              <w:rPr>
                <w:rFonts w:ascii="仿宋" w:hAnsi="仿宋" w:eastAsia="仿宋" w:cs="Times New Roman"/>
                <w:szCs w:val="21"/>
              </w:rPr>
              <w:t>2.</w:t>
            </w:r>
            <w:r>
              <w:rPr>
                <w:rFonts w:hint="eastAsia" w:ascii="仿宋" w:hAnsi="仿宋" w:eastAsia="仿宋" w:cs="Times New Roman"/>
                <w:szCs w:val="21"/>
              </w:rPr>
              <w:t>保障机关文秘、档案保管、机要、通讯、保密、政务督办、综合协调等工作正常运转；</w:t>
            </w:r>
            <w:r>
              <w:rPr>
                <w:rFonts w:ascii="仿宋" w:hAnsi="仿宋" w:eastAsia="仿宋" w:cs="Times New Roman"/>
                <w:szCs w:val="21"/>
              </w:rPr>
              <w:t>3.</w:t>
            </w:r>
            <w:r>
              <w:rPr>
                <w:rFonts w:hint="eastAsia" w:ascii="仿宋" w:hAnsi="仿宋" w:eastAsia="仿宋" w:cs="Times New Roman"/>
                <w:szCs w:val="21"/>
              </w:rPr>
              <w:t>保障辖区内党群和干部、人事、机构编制工作；</w:t>
            </w:r>
            <w:r>
              <w:rPr>
                <w:rFonts w:ascii="仿宋" w:hAnsi="仿宋" w:eastAsia="仿宋" w:cs="Times New Roman"/>
                <w:szCs w:val="21"/>
              </w:rPr>
              <w:t>4.</w:t>
            </w:r>
            <w:r>
              <w:rPr>
                <w:rFonts w:hint="eastAsia" w:ascii="仿宋" w:hAnsi="仿宋" w:eastAsia="仿宋" w:cs="Times New Roman"/>
                <w:szCs w:val="21"/>
              </w:rPr>
              <w:t>协调辖区内政法工作，负责人大代表、政协委员的联络工作；5、做好辖区党的纪律检查工作；6、做好辖区工会、共青团、妇联等群团工作</w:t>
            </w:r>
            <w:r>
              <w:rPr>
                <w:rFonts w:ascii="仿宋" w:hAnsi="仿宋" w:eastAsia="仿宋" w:cs="Times New Roman"/>
                <w:szCs w:val="21"/>
              </w:rPr>
              <w:t>7.</w:t>
            </w:r>
            <w:r>
              <w:rPr>
                <w:rFonts w:hint="eastAsia" w:ascii="仿宋" w:hAnsi="仿宋" w:eastAsia="仿宋" w:cs="Times New Roman"/>
                <w:szCs w:val="21"/>
              </w:rPr>
              <w:t>做好辖区内社会治安综合治理和维护稳定工作</w:t>
            </w:r>
          </w:p>
        </w:tc>
        <w:tc>
          <w:tcPr>
            <w:tcW w:w="1417" w:type="dxa"/>
            <w:vAlign w:val="center"/>
          </w:tcPr>
          <w:p>
            <w:pPr>
              <w:spacing w:line="280" w:lineRule="exact"/>
              <w:jc w:val="left"/>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1、协调组织园区重大活动和会议</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各种会议的会务工作和大型活动的组织安排。</w:t>
            </w: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严控会议计划、会议规模和会期，严格会议开支标准，严控大型活动数量，降低会议和活动费用开支。</w:t>
            </w: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大型会议控制率</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2、机关综合协调</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机关文秘、档案保管、机要、通讯、保密、政务督办、综合协调等工作</w:t>
            </w: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保障机关各项工作正常开展，效率高，无差错，领导满意。</w:t>
            </w: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无差错率、领导满意度。</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3、党群、人事、编制工作</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党群、人事、编制工作的正常开展</w:t>
            </w:r>
          </w:p>
        </w:tc>
        <w:tc>
          <w:tcPr>
            <w:tcW w:w="2976" w:type="dxa"/>
            <w:vMerge w:val="restart"/>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积极开展党群工作和活动，按照要求做好人事、编制工作</w:t>
            </w: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人事、编制工作开展情况</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center"/>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280" w:lineRule="exact"/>
              <w:jc w:val="left"/>
              <w:rPr>
                <w:rFonts w:ascii="仿宋" w:hAnsi="仿宋" w:eastAsia="仿宋" w:cs="Times New Roman"/>
                <w:szCs w:val="21"/>
              </w:rPr>
            </w:pPr>
          </w:p>
        </w:tc>
        <w:tc>
          <w:tcPr>
            <w:tcW w:w="2976" w:type="dxa"/>
            <w:vMerge w:val="continue"/>
            <w:vAlign w:val="center"/>
          </w:tcPr>
          <w:p>
            <w:pPr>
              <w:spacing w:line="280" w:lineRule="exact"/>
              <w:jc w:val="left"/>
              <w:rPr>
                <w:rFonts w:ascii="仿宋" w:hAnsi="仿宋" w:eastAsia="仿宋" w:cs="Times New Roman"/>
                <w:szCs w:val="21"/>
              </w:rPr>
            </w:pP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党群工作开展情况</w:t>
            </w:r>
          </w:p>
        </w:tc>
        <w:tc>
          <w:tcPr>
            <w:tcW w:w="737" w:type="dxa"/>
          </w:tcPr>
          <w:p>
            <w:pPr>
              <w:rPr>
                <w:szCs w:val="21"/>
              </w:rPr>
            </w:pPr>
            <w:r>
              <w:rPr>
                <w:rFonts w:hint="eastAsia"/>
                <w:szCs w:val="21"/>
              </w:rPr>
              <w:t>100%</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4、纪律检查工作</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对有关对象违反党纪政纪和违纪违法行为进行处理；组织协调案件查办工作;承担县监察局的行政复议、行政应诉及有关条规的起草工作。宣传党的纪检监察法律法规，提高监察办案人员素质</w:t>
            </w: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办案问责、监督检查部门职责，以受理信访举报集中管理问题线索、组织协调案件查办调查审查违纪违法案件，对案件审理提出处理意见；监督检查党内法律法规执行情况等为目标。</w:t>
            </w: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监督检查党内法律法规执行情况</w:t>
            </w:r>
          </w:p>
        </w:tc>
        <w:tc>
          <w:tcPr>
            <w:tcW w:w="737" w:type="dxa"/>
          </w:tcPr>
          <w:p>
            <w:pPr>
              <w:rPr>
                <w:szCs w:val="21"/>
              </w:rPr>
            </w:pPr>
            <w:r>
              <w:rPr>
                <w:rFonts w:hint="eastAsia"/>
                <w:szCs w:val="21"/>
              </w:rPr>
              <w:t>100%</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5、工会、共青团、妇联等群团工作</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维护职工合法权益、负责辖区团委综合业务管理、维权服务、教育培训与事业发展</w:t>
            </w: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按上级文件精神组织好工会、妇联、共青团各项工作部门职责，以围绕中心工作开展好各项活动为目标。</w:t>
            </w: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工会、</w:t>
            </w:r>
            <w:r>
              <w:rPr>
                <w:rFonts w:ascii="仿宋" w:hAnsi="仿宋" w:eastAsia="仿宋" w:cs="Times New Roman"/>
                <w:szCs w:val="21"/>
              </w:rPr>
              <w:t>共青团</w:t>
            </w:r>
            <w:r>
              <w:rPr>
                <w:rFonts w:hint="eastAsia" w:ascii="仿宋" w:hAnsi="仿宋" w:eastAsia="仿宋" w:cs="Times New Roman"/>
                <w:szCs w:val="21"/>
              </w:rPr>
              <w:t>、</w:t>
            </w:r>
            <w:r>
              <w:rPr>
                <w:rFonts w:ascii="仿宋" w:hAnsi="仿宋" w:eastAsia="仿宋" w:cs="Times New Roman"/>
                <w:szCs w:val="21"/>
              </w:rPr>
              <w:t>妇联</w:t>
            </w:r>
            <w:r>
              <w:rPr>
                <w:rFonts w:hint="eastAsia" w:ascii="仿宋" w:hAnsi="仿宋" w:eastAsia="仿宋" w:cs="Times New Roman"/>
                <w:szCs w:val="21"/>
              </w:rPr>
              <w:t>工作开展情况</w:t>
            </w:r>
          </w:p>
        </w:tc>
        <w:tc>
          <w:tcPr>
            <w:tcW w:w="737" w:type="dxa"/>
          </w:tcPr>
          <w:p>
            <w:pPr>
              <w:rPr>
                <w:szCs w:val="21"/>
              </w:rPr>
            </w:pPr>
            <w:r>
              <w:rPr>
                <w:rFonts w:hint="eastAsia"/>
                <w:szCs w:val="21"/>
              </w:rPr>
              <w:t>100%</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280" w:lineRule="exact"/>
              <w:jc w:val="center"/>
              <w:rPr>
                <w:rFonts w:ascii="仿宋" w:hAnsi="仿宋" w:eastAsia="仿宋" w:cs="Times New Roman"/>
                <w:szCs w:val="21"/>
              </w:rPr>
            </w:pPr>
            <w:r>
              <w:rPr>
                <w:rFonts w:hint="eastAsia" w:ascii="仿宋" w:hAnsi="仿宋" w:eastAsia="仿宋" w:cs="Times New Roman"/>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6、信访和综治维稳工作</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园区信接待访和综治稳定工作</w:t>
            </w:r>
          </w:p>
        </w:tc>
        <w:tc>
          <w:tcPr>
            <w:tcW w:w="2976"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保障园区信访、综治工作稳定</w:t>
            </w: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信访案件办结率和综治稳定情况</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二、经济发展和环境保护</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负责拟定并组织实施辖区内国民经济和社会发展战略、中长期规划和年度计划；分析研究财政、金融、投资、社会事务发展等方面的情况，规划重点项目和产业布局，提出辖区内经济协调发展的政策措施；组织解决经济运行中的重大问题，提出辖区内国民经济发展和优化重大经济结构的目标和政策及运用各种经济手段和政策的建议；负责辖区内环境保护和安全生产监督管理工作。编制辖区内年度财政预算草案并组织预算执行，管理各项财政收入和财政公共支出；监督管理政府采购活动和财政专户，监督管理财政性经济发展支出、社会保障资金使用和行政事业性收费。</w:t>
            </w:r>
          </w:p>
        </w:tc>
        <w:tc>
          <w:tcPr>
            <w:tcW w:w="2976" w:type="dxa"/>
            <w:vAlign w:val="center"/>
          </w:tcPr>
          <w:p>
            <w:pPr>
              <w:spacing w:line="280" w:lineRule="exact"/>
              <w:jc w:val="lef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做好辖区内国民经济和社会发展战略、中长期规划和年度计划；</w:t>
            </w:r>
            <w:r>
              <w:rPr>
                <w:rFonts w:ascii="仿宋" w:hAnsi="仿宋" w:eastAsia="仿宋" w:cs="Times New Roman"/>
                <w:szCs w:val="21"/>
              </w:rPr>
              <w:t>2.</w:t>
            </w:r>
            <w:r>
              <w:rPr>
                <w:rFonts w:hint="eastAsia" w:ascii="仿宋" w:hAnsi="仿宋" w:eastAsia="仿宋" w:cs="Times New Roman"/>
                <w:szCs w:val="21"/>
              </w:rPr>
              <w:t>保障重点项目和生产力布局，提出辖区内经济协调发展的政策措施。组织解决经济运行中的重大问题，提出辖区内国民经济发展和优化重大经济结构的目标和政策及运用各种经济手段和政策的建议；</w:t>
            </w:r>
            <w:r>
              <w:rPr>
                <w:rFonts w:ascii="仿宋" w:hAnsi="仿宋" w:eastAsia="仿宋" w:cs="Times New Roman"/>
                <w:szCs w:val="21"/>
              </w:rPr>
              <w:t>4.</w:t>
            </w:r>
            <w:r>
              <w:rPr>
                <w:rFonts w:hint="eastAsia" w:ascii="仿宋" w:hAnsi="仿宋" w:eastAsia="仿宋" w:cs="Times New Roman"/>
                <w:szCs w:val="21"/>
              </w:rPr>
              <w:t>保障辖区内环境保护和安全生产监督管理工作。</w:t>
            </w:r>
            <w:r>
              <w:rPr>
                <w:rFonts w:ascii="仿宋" w:hAnsi="仿宋" w:eastAsia="仿宋" w:cs="Times New Roman"/>
                <w:szCs w:val="21"/>
              </w:rPr>
              <w:t>5.</w:t>
            </w:r>
            <w:r>
              <w:rPr>
                <w:rFonts w:hint="eastAsia" w:ascii="仿宋" w:hAnsi="仿宋" w:eastAsia="仿宋" w:cs="Times New Roman"/>
                <w:szCs w:val="21"/>
              </w:rPr>
              <w:t>编制辖区内年度财政预算草案并组织预算执行，管理各项财政收入和财政公共支出。监督管理采购活动和财政专户，监督管理财政性经济发展支出、社会保障资金使用和行政事业性收费，负责国有资产管理和财务监督工作。</w:t>
            </w:r>
          </w:p>
        </w:tc>
        <w:tc>
          <w:tcPr>
            <w:tcW w:w="1417" w:type="dxa"/>
            <w:vAlign w:val="center"/>
          </w:tcPr>
          <w:p>
            <w:pPr>
              <w:spacing w:line="280" w:lineRule="exact"/>
              <w:jc w:val="left"/>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c>
          <w:tcPr>
            <w:tcW w:w="737" w:type="dxa"/>
            <w:vAlign w:val="center"/>
          </w:tcPr>
          <w:p>
            <w:pPr>
              <w:spacing w:line="28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1、经济社会发展形势计划制定，运行调节和政策建议</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负责园区经济社会发展计划制定，运行调节。</w:t>
            </w:r>
          </w:p>
        </w:tc>
        <w:tc>
          <w:tcPr>
            <w:tcW w:w="2976" w:type="dxa"/>
            <w:vMerge w:val="restart"/>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推进经济社会健康协调发展，提升园区经济、装备动员能力。</w:t>
            </w: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年度经济、装备动员年度计划完成率</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left"/>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280" w:lineRule="exact"/>
              <w:jc w:val="left"/>
              <w:rPr>
                <w:rFonts w:ascii="仿宋" w:hAnsi="仿宋" w:eastAsia="仿宋" w:cs="Times New Roman"/>
                <w:szCs w:val="21"/>
              </w:rPr>
            </w:pPr>
          </w:p>
        </w:tc>
        <w:tc>
          <w:tcPr>
            <w:tcW w:w="1417" w:type="dxa"/>
            <w:vAlign w:val="center"/>
          </w:tcPr>
          <w:p>
            <w:pPr>
              <w:spacing w:line="280" w:lineRule="exact"/>
              <w:jc w:val="left"/>
              <w:rPr>
                <w:rFonts w:ascii="仿宋" w:hAnsi="仿宋" w:eastAsia="仿宋" w:cs="Times New Roman"/>
                <w:szCs w:val="21"/>
              </w:rPr>
            </w:pPr>
            <w:r>
              <w:rPr>
                <w:rFonts w:hint="eastAsia" w:ascii="仿宋" w:hAnsi="仿宋" w:eastAsia="仿宋" w:cs="Times New Roman"/>
                <w:szCs w:val="21"/>
              </w:rPr>
              <w:t>调研次数、政策性文件、形势分析或调研报告数量</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28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2、重点项目和经济运行</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推进重点项目建设进度，园区经济运行稳步发展</w:t>
            </w: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推行重点项目跟踪制度，保障重点项目建设进度；解决经济运行中的重大问题，提出辖区内国民经济发展和优化重大经济结构的目标和政策及运用各种经济手段和政策，保障完成各项经济指标</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经济指标完成度</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center"/>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重点项目建设进度</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3、环境保护和安全生产监督管理</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严格开展环境保护和安全生产监督工作</w:t>
            </w: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按照上级环保、安监部门工作部署，严格开展环保、安监工作，保证园区企业的正常生产，不发生环境和安全生产事故</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安全生产事故</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center"/>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环境保护事故</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2</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4、财政预算和各项财政收收入及财政支出</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编制辖区内年度财政预算并组织实施，监管各项财政支出和资产管理</w:t>
            </w: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编制辖区内年度财政预算并组织实施；管理各项财政公共支出。</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各项财政支出、采购及资产管理情况</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center"/>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年度财政预算及实施情况</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三、规划建设</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负责研究拟定辖区内城市发展规划、产业布局；负责工程建设和基础设施建设管理工作，对建筑业、市政公用事业实施行业管理；负责建筑市场准入和工程质量监督管理等工作，负责基础道路管理工作。</w:t>
            </w:r>
          </w:p>
        </w:tc>
        <w:tc>
          <w:tcPr>
            <w:tcW w:w="2976" w:type="dxa"/>
            <w:vAlign w:val="center"/>
          </w:tcPr>
          <w:p>
            <w:pPr>
              <w:spacing w:line="300" w:lineRule="exact"/>
              <w:jc w:val="lef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做好辖区内城市发展规划、产业布局规划；</w:t>
            </w:r>
            <w:r>
              <w:rPr>
                <w:rFonts w:ascii="仿宋" w:hAnsi="仿宋" w:eastAsia="仿宋" w:cs="Times New Roman"/>
                <w:szCs w:val="21"/>
              </w:rPr>
              <w:t>2.</w:t>
            </w:r>
            <w:r>
              <w:rPr>
                <w:rFonts w:hint="eastAsia" w:ascii="仿宋" w:hAnsi="仿宋" w:eastAsia="仿宋" w:cs="Times New Roman"/>
                <w:szCs w:val="21"/>
              </w:rPr>
              <w:t>保障工程建设和基础设施建设管理工作，对建筑业、市政公用事业实施行业管理；</w:t>
            </w:r>
            <w:r>
              <w:rPr>
                <w:rFonts w:ascii="仿宋" w:hAnsi="仿宋" w:eastAsia="仿宋" w:cs="Times New Roman"/>
                <w:szCs w:val="21"/>
              </w:rPr>
              <w:t>3.</w:t>
            </w:r>
            <w:r>
              <w:rPr>
                <w:rFonts w:hint="eastAsia" w:ascii="仿宋" w:hAnsi="仿宋" w:eastAsia="仿宋" w:cs="Times New Roman"/>
                <w:szCs w:val="21"/>
              </w:rPr>
              <w:t>做好建筑市场准入和工程质量监督管理等工作，负责基础道路管理工作。</w:t>
            </w:r>
          </w:p>
          <w:p>
            <w:pPr>
              <w:spacing w:line="300" w:lineRule="exact"/>
              <w:jc w:val="left"/>
              <w:rPr>
                <w:rFonts w:ascii="仿宋" w:hAnsi="仿宋" w:eastAsia="仿宋" w:cs="Times New Roman"/>
                <w:szCs w:val="21"/>
              </w:rPr>
            </w:pPr>
          </w:p>
        </w:tc>
        <w:tc>
          <w:tcPr>
            <w:tcW w:w="1417" w:type="dxa"/>
            <w:vAlign w:val="center"/>
          </w:tcPr>
          <w:p>
            <w:pPr>
              <w:spacing w:line="300" w:lineRule="exact"/>
              <w:jc w:val="left"/>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1、辖区规划</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园区各类规划文本的修订及地形图等原始资料的测绘工作</w:t>
            </w: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　根据园区产业及发展要求，修订园区总规、控规、详规及要区其他必要的基础资料</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各类规划、基础资料修订和完善的情况</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2、工程建设和基础设施建设管理</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园区工程建设和基础设施建设的组织实施和管理</w:t>
            </w: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组织实施园区道路、绿化、亮化、污水处理、给排水等基础设施建设和其他工程设施的监管</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各类工程建设的进度</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四、招商服务</w:t>
            </w:r>
          </w:p>
        </w:tc>
        <w:tc>
          <w:tcPr>
            <w:tcW w:w="1276" w:type="dxa"/>
            <w:vAlign w:val="center"/>
          </w:tcPr>
          <w:p>
            <w:pPr>
              <w:spacing w:line="300" w:lineRule="exact"/>
              <w:jc w:val="left"/>
              <w:rPr>
                <w:rFonts w:ascii="仿宋" w:hAnsi="仿宋" w:eastAsia="仿宋" w:cs="Times New Roman"/>
                <w:szCs w:val="21"/>
              </w:rPr>
            </w:pPr>
          </w:p>
        </w:tc>
        <w:tc>
          <w:tcPr>
            <w:tcW w:w="2976"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负责贯彻落实上级有关招商引资、内外贸易、国内经济技术合作的发展战略、方针、政策和法律法规，拟定相应的发展规划、办法和措施。负责辖区招商引资、进出口贸易和国内经济技术合作工作。负责招商活动的组织、宣传、协调等工作；为辖区内投资企业提供政策咨询和投资服务；负责园区内企业日常管理；协助入园企业进行规划设计、建设；协助辖区内投资企业办理有关审批手续；为劳动者提供就业和再就业服务。</w:t>
            </w:r>
          </w:p>
        </w:tc>
        <w:tc>
          <w:tcPr>
            <w:tcW w:w="2976" w:type="dxa"/>
            <w:vAlign w:val="center"/>
          </w:tcPr>
          <w:p>
            <w:pPr>
              <w:spacing w:line="300" w:lineRule="exact"/>
              <w:jc w:val="left"/>
              <w:rPr>
                <w:rFonts w:ascii="仿宋" w:hAnsi="仿宋" w:eastAsia="仿宋" w:cs="Times New Roman"/>
                <w:szCs w:val="21"/>
              </w:rPr>
            </w:pPr>
            <w:r>
              <w:rPr>
                <w:rFonts w:ascii="仿宋" w:hAnsi="仿宋" w:eastAsia="仿宋" w:cs="Times New Roman"/>
                <w:szCs w:val="21"/>
              </w:rPr>
              <w:t>1.</w:t>
            </w:r>
            <w:r>
              <w:rPr>
                <w:rFonts w:hint="eastAsia" w:ascii="仿宋" w:hAnsi="仿宋" w:eastAsia="仿宋" w:cs="Times New Roman"/>
                <w:szCs w:val="21"/>
              </w:rPr>
              <w:t>贯彻落实上级有关招商引资、内外贸易、国内经济技术合作的发展战略、方针、政策和法律法规，拟定相应的发展规划、办法和措施。做好辖区招商引资、进出口贸易和国内经济技术合作工作。负责招商活动的组织、宣传、协调等工作；</w:t>
            </w:r>
            <w:r>
              <w:rPr>
                <w:rFonts w:ascii="仿宋" w:hAnsi="仿宋" w:eastAsia="仿宋" w:cs="Times New Roman"/>
                <w:szCs w:val="21"/>
              </w:rPr>
              <w:t>2.</w:t>
            </w:r>
            <w:r>
              <w:rPr>
                <w:rFonts w:hint="eastAsia" w:ascii="仿宋" w:hAnsi="仿宋" w:eastAsia="仿宋" w:cs="Times New Roman"/>
                <w:szCs w:val="21"/>
              </w:rPr>
              <w:t>为辖区内投资企业提供政策咨询和投资服务；</w:t>
            </w:r>
            <w:r>
              <w:rPr>
                <w:rFonts w:ascii="仿宋" w:hAnsi="仿宋" w:eastAsia="仿宋" w:cs="Times New Roman"/>
                <w:szCs w:val="21"/>
              </w:rPr>
              <w:t>3.</w:t>
            </w:r>
            <w:r>
              <w:rPr>
                <w:rFonts w:hint="eastAsia" w:ascii="仿宋" w:hAnsi="仿宋" w:eastAsia="仿宋" w:cs="Times New Roman"/>
                <w:szCs w:val="21"/>
              </w:rPr>
              <w:t>做好园区内企业日常管理；保障入园企业进行规划设计、建设；协助辖区内投资企业办理有关审批手续；为劳动者提供就业和再就业服务。</w:t>
            </w:r>
          </w:p>
        </w:tc>
        <w:tc>
          <w:tcPr>
            <w:tcW w:w="1417" w:type="dxa"/>
            <w:vAlign w:val="center"/>
          </w:tcPr>
          <w:p>
            <w:pPr>
              <w:spacing w:line="300" w:lineRule="exact"/>
              <w:jc w:val="left"/>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c>
          <w:tcPr>
            <w:tcW w:w="737" w:type="dxa"/>
            <w:vAlign w:val="center"/>
          </w:tcPr>
          <w:p>
            <w:pPr>
              <w:spacing w:line="30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1、招商引资</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组织企业走出去，开展贸易洽谈、招商合作等活动，促进贸易往来。</w:t>
            </w: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　通过开展</w:t>
            </w:r>
            <w:r>
              <w:rPr>
                <w:rFonts w:hint="cs" w:ascii="仿宋" w:hAnsi="仿宋" w:eastAsia="仿宋" w:cs="Times New Roman"/>
                <w:szCs w:val="21"/>
                <w:cs/>
              </w:rPr>
              <w:t>“</w:t>
            </w:r>
            <w:r>
              <w:rPr>
                <w:rFonts w:hint="eastAsia" w:ascii="仿宋" w:hAnsi="仿宋" w:eastAsia="仿宋" w:cs="Times New Roman"/>
                <w:szCs w:val="21"/>
              </w:rPr>
              <w:t>主体招商活动</w:t>
            </w:r>
            <w:r>
              <w:rPr>
                <w:rFonts w:hint="cs" w:ascii="仿宋" w:hAnsi="仿宋" w:eastAsia="仿宋" w:cs="Times New Roman"/>
                <w:szCs w:val="21"/>
                <w:cs/>
              </w:rPr>
              <w:t>”</w:t>
            </w:r>
            <w:r>
              <w:rPr>
                <w:rFonts w:hint="eastAsia" w:ascii="仿宋" w:hAnsi="仿宋" w:eastAsia="仿宋" w:cs="Times New Roman"/>
                <w:szCs w:val="21"/>
              </w:rPr>
              <w:t>，瞄准重点区域、重点客商和商务机构，推动和引领园区做好招商工作。突出引进战略投资者，力争在重点产业引进一批战略支撑项目、龙头企业和协力配套企业</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到、会客商人数</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100%</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center"/>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举办活动数量</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100%</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2、政策咨询和投资服务</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对拟入园企业和项目提供政策咨询和投资服务</w:t>
            </w: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通过组织开展政策、投资宣传活动，及招商热线，为入园企业提供、政策咨询和投资服务</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拟入园企业满意度</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100%</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90%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及以上</w:t>
            </w:r>
          </w:p>
        </w:tc>
        <w:tc>
          <w:tcPr>
            <w:tcW w:w="737" w:type="dxa"/>
            <w:vAlign w:val="center"/>
          </w:tcPr>
          <w:p>
            <w:pPr>
              <w:spacing w:line="300" w:lineRule="exact"/>
              <w:jc w:val="center"/>
              <w:rPr>
                <w:rFonts w:ascii="仿宋" w:hAnsi="仿宋" w:eastAsia="仿宋" w:cs="Times New Roman"/>
                <w:szCs w:val="21"/>
              </w:rPr>
            </w:pPr>
            <w:r>
              <w:rPr>
                <w:rFonts w:ascii="仿宋" w:hAnsi="仿宋" w:eastAsia="仿宋" w:cs="Times New Roman"/>
                <w:szCs w:val="21"/>
              </w:rPr>
              <w:t>80%</w:t>
            </w:r>
            <w:r>
              <w:rPr>
                <w:rFonts w:hint="eastAsia" w:ascii="仿宋" w:hAnsi="仿宋" w:eastAsia="仿宋" w:cs="Times New Roman"/>
                <w:szCs w:val="21"/>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center"/>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宣传活动开展次数</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100%</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restart"/>
            <w:vAlign w:val="center"/>
          </w:tcPr>
          <w:p>
            <w:pPr>
              <w:spacing w:line="300" w:lineRule="exact"/>
              <w:jc w:val="center"/>
              <w:rPr>
                <w:rFonts w:ascii="仿宋" w:hAnsi="仿宋" w:eastAsia="仿宋" w:cs="Times New Roman"/>
                <w:b/>
                <w:szCs w:val="21"/>
              </w:rPr>
            </w:pPr>
            <w:r>
              <w:rPr>
                <w:rFonts w:hint="eastAsia" w:ascii="仿宋" w:hAnsi="仿宋" w:eastAsia="仿宋" w:cs="Times New Roman"/>
                <w:b/>
                <w:szCs w:val="21"/>
              </w:rPr>
              <w:t>3、项目入驻服务</w:t>
            </w:r>
          </w:p>
        </w:tc>
        <w:tc>
          <w:tcPr>
            <w:tcW w:w="1276" w:type="dxa"/>
            <w:vMerge w:val="restart"/>
            <w:vAlign w:val="center"/>
          </w:tcPr>
          <w:p>
            <w:pPr>
              <w:spacing w:line="300" w:lineRule="exact"/>
              <w:jc w:val="left"/>
              <w:rPr>
                <w:rFonts w:ascii="仿宋" w:hAnsi="仿宋" w:eastAsia="仿宋" w:cs="Times New Roman"/>
                <w:szCs w:val="21"/>
              </w:rPr>
            </w:pP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采取</w:t>
            </w:r>
            <w:r>
              <w:rPr>
                <w:rFonts w:hint="cs" w:ascii="仿宋" w:hAnsi="仿宋" w:eastAsia="仿宋" w:cs="Times New Roman"/>
                <w:szCs w:val="21"/>
                <w:cs/>
              </w:rPr>
              <w:t>“</w:t>
            </w:r>
            <w:r>
              <w:rPr>
                <w:rFonts w:hint="eastAsia" w:ascii="仿宋" w:hAnsi="仿宋" w:eastAsia="仿宋" w:cs="Times New Roman"/>
                <w:szCs w:val="21"/>
              </w:rPr>
              <w:t>一站式</w:t>
            </w:r>
            <w:r>
              <w:rPr>
                <w:rFonts w:hint="cs" w:ascii="仿宋" w:hAnsi="仿宋" w:eastAsia="仿宋" w:cs="Times New Roman"/>
                <w:szCs w:val="21"/>
                <w:cs/>
              </w:rPr>
              <w:t>”</w:t>
            </w:r>
            <w:r>
              <w:rPr>
                <w:rFonts w:hint="eastAsia" w:ascii="仿宋" w:hAnsi="仿宋" w:eastAsia="仿宋" w:cs="Times New Roman"/>
                <w:szCs w:val="21"/>
              </w:rPr>
              <w:t>服务，协助入园企业进行规划设计、建设；办理有关审批手续；为劳动者提供就业和再就业服务。</w:t>
            </w:r>
          </w:p>
        </w:tc>
        <w:tc>
          <w:tcPr>
            <w:tcW w:w="2976" w:type="dxa"/>
            <w:vMerge w:val="restart"/>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由管委会协调各业务部门，协助入园企业办理各项手续</w:t>
            </w: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劳动者提供就业和再就业的岗位</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100%</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341" w:type="dxa"/>
            <w:vMerge w:val="continue"/>
            <w:vAlign w:val="center"/>
          </w:tcPr>
          <w:p>
            <w:pPr>
              <w:spacing w:line="300" w:lineRule="exact"/>
              <w:jc w:val="left"/>
              <w:rPr>
                <w:rFonts w:ascii="仿宋" w:hAnsi="仿宋" w:eastAsia="仿宋" w:cs="Times New Roman"/>
                <w:b/>
                <w:szCs w:val="21"/>
              </w:rPr>
            </w:pPr>
          </w:p>
        </w:tc>
        <w:tc>
          <w:tcPr>
            <w:tcW w:w="12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2976" w:type="dxa"/>
            <w:vMerge w:val="continue"/>
            <w:vAlign w:val="center"/>
          </w:tcPr>
          <w:p>
            <w:pPr>
              <w:spacing w:line="300" w:lineRule="exact"/>
              <w:jc w:val="left"/>
              <w:rPr>
                <w:rFonts w:ascii="仿宋" w:hAnsi="仿宋" w:eastAsia="仿宋" w:cs="Times New Roman"/>
                <w:szCs w:val="21"/>
              </w:rPr>
            </w:pPr>
          </w:p>
        </w:tc>
        <w:tc>
          <w:tcPr>
            <w:tcW w:w="1417" w:type="dxa"/>
            <w:vAlign w:val="center"/>
          </w:tcPr>
          <w:p>
            <w:pPr>
              <w:spacing w:line="300" w:lineRule="exact"/>
              <w:jc w:val="left"/>
              <w:rPr>
                <w:rFonts w:ascii="仿宋" w:hAnsi="仿宋" w:eastAsia="仿宋" w:cs="Times New Roman"/>
                <w:szCs w:val="21"/>
              </w:rPr>
            </w:pPr>
            <w:r>
              <w:rPr>
                <w:rFonts w:hint="eastAsia" w:ascii="仿宋" w:hAnsi="仿宋" w:eastAsia="仿宋" w:cs="Times New Roman"/>
                <w:szCs w:val="21"/>
              </w:rPr>
              <w:t>协助入园企业办理手续的次数</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100%</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90%及以上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80%及以上</w:t>
            </w:r>
          </w:p>
        </w:tc>
        <w:tc>
          <w:tcPr>
            <w:tcW w:w="737" w:type="dxa"/>
          </w:tcPr>
          <w:p>
            <w:pPr>
              <w:spacing w:line="300" w:lineRule="exact"/>
              <w:jc w:val="center"/>
              <w:rPr>
                <w:rFonts w:ascii="仿宋" w:hAnsi="仿宋" w:eastAsia="仿宋" w:cs="Times New Roman"/>
                <w:szCs w:val="21"/>
              </w:rPr>
            </w:pPr>
            <w:r>
              <w:rPr>
                <w:rFonts w:hint="eastAsia" w:ascii="仿宋" w:hAnsi="仿宋" w:eastAsia="仿宋" w:cs="Times New Roman"/>
                <w:szCs w:val="21"/>
              </w:rPr>
              <w:t>80%以下</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w:t>
      </w:r>
      <w:r>
        <w:rPr>
          <w:rFonts w:ascii="仿宋" w:hAnsi="仿宋" w:eastAsia="仿宋" w:cs="Times New Roman"/>
          <w:sz w:val="32"/>
          <w:szCs w:val="24"/>
        </w:rPr>
        <w:t>201</w:t>
      </w:r>
      <w:r>
        <w:rPr>
          <w:rFonts w:hint="eastAsia" w:ascii="仿宋" w:hAnsi="仿宋" w:eastAsia="仿宋" w:cs="Times New Roman"/>
          <w:sz w:val="32"/>
          <w:szCs w:val="24"/>
        </w:rPr>
        <w:t>9</w:t>
      </w:r>
      <w:r>
        <w:rPr>
          <w:rFonts w:ascii="仿宋" w:hAnsi="仿宋" w:eastAsia="仿宋" w:cs="Times New Roman"/>
          <w:sz w:val="32"/>
          <w:szCs w:val="24"/>
        </w:rPr>
        <w:t>年，我单位安排政府采购预算0万元。具体内容见下表。</w:t>
      </w:r>
    </w:p>
    <w:p>
      <w:pPr>
        <w:jc w:val="center"/>
        <w:outlineLvl w:val="0"/>
        <w:rPr>
          <w:rFonts w:ascii="仿宋" w:hAnsi="仿宋" w:eastAsia="仿宋" w:cs="Times New Roman"/>
          <w:sz w:val="32"/>
          <w:szCs w:val="24"/>
        </w:rPr>
      </w:pPr>
      <w:r>
        <w:rPr>
          <w:rFonts w:hint="eastAsia" w:ascii="仿宋" w:hAnsi="仿宋" w:eastAsia="仿宋" w:cs="Times New Roman"/>
          <w:sz w:val="32"/>
          <w:szCs w:val="24"/>
        </w:rPr>
        <w:t>部门政府采购预算</w:t>
      </w:r>
      <w:bookmarkEnd w:id="1"/>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7"/>
        <w:gridCol w:w="977"/>
        <w:gridCol w:w="671"/>
        <w:gridCol w:w="1524"/>
        <w:gridCol w:w="564"/>
        <w:gridCol w:w="976"/>
        <w:gridCol w:w="976"/>
        <w:gridCol w:w="976"/>
        <w:gridCol w:w="976"/>
        <w:gridCol w:w="976"/>
        <w:gridCol w:w="754"/>
        <w:gridCol w:w="756"/>
        <w:gridCol w:w="858"/>
        <w:gridCol w:w="611"/>
      </w:tblGrid>
      <w:tr>
        <w:trPr>
          <w:tblHeader/>
          <w:jc w:val="center"/>
        </w:trPr>
        <w:tc>
          <w:tcPr>
            <w:tcW w:w="285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24"/>
              </w:rPr>
            </w:pPr>
          </w:p>
        </w:tc>
        <w:tc>
          <w:tcPr>
            <w:tcW w:w="214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24"/>
              </w:rPr>
            </w:pPr>
            <w:r>
              <w:rPr>
                <w:rFonts w:hint="eastAsia" w:ascii="仿宋" w:hAns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139" w:type="pct"/>
            <w:gridSpan w:val="2"/>
            <w:shd w:val="clear" w:color="auto" w:fill="auto"/>
            <w:vAlign w:val="center"/>
          </w:tcPr>
          <w:p>
            <w:pPr>
              <w:spacing w:line="300" w:lineRule="exact"/>
              <w:jc w:val="center"/>
              <w:rPr>
                <w:rFonts w:ascii="仿宋" w:hAnsi="仿宋" w:eastAsia="仿宋"/>
                <w:b/>
              </w:rPr>
            </w:pPr>
            <w:r>
              <w:rPr>
                <w:rFonts w:hint="eastAsia" w:ascii="仿宋" w:hAnsi="仿宋" w:eastAsia="仿宋"/>
                <w:b/>
              </w:rPr>
              <w:t>政府采购项目来源</w:t>
            </w:r>
          </w:p>
        </w:tc>
        <w:tc>
          <w:tcPr>
            <w:tcW w:w="244"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采购物品名称</w:t>
            </w:r>
          </w:p>
        </w:tc>
        <w:tc>
          <w:tcPr>
            <w:tcW w:w="554"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政府采购目录序号</w:t>
            </w:r>
          </w:p>
        </w:tc>
        <w:tc>
          <w:tcPr>
            <w:tcW w:w="205"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数量  单位</w:t>
            </w:r>
          </w:p>
        </w:tc>
        <w:tc>
          <w:tcPr>
            <w:tcW w:w="355"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数量</w:t>
            </w:r>
          </w:p>
        </w:tc>
        <w:tc>
          <w:tcPr>
            <w:tcW w:w="355"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单价</w:t>
            </w:r>
          </w:p>
        </w:tc>
        <w:tc>
          <w:tcPr>
            <w:tcW w:w="2148" w:type="pct"/>
            <w:gridSpan w:val="7"/>
            <w:shd w:val="clear" w:color="auto" w:fill="auto"/>
            <w:vAlign w:val="center"/>
          </w:tcPr>
          <w:p>
            <w:pPr>
              <w:spacing w:line="300" w:lineRule="exact"/>
              <w:jc w:val="center"/>
              <w:rPr>
                <w:rFonts w:ascii="仿宋" w:hAnsi="仿宋" w:eastAsia="仿宋"/>
                <w:b/>
              </w:rPr>
            </w:pPr>
            <w:r>
              <w:rPr>
                <w:rFonts w:hint="eastAsia" w:ascii="仿宋" w:hAnsi="仿宋" w:eastAsia="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84"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355"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预算资金</w:t>
            </w:r>
          </w:p>
        </w:tc>
        <w:tc>
          <w:tcPr>
            <w:tcW w:w="244" w:type="pct"/>
            <w:vMerge w:val="continue"/>
            <w:shd w:val="clear" w:color="auto" w:fill="auto"/>
            <w:vAlign w:val="center"/>
          </w:tcPr>
          <w:p>
            <w:pPr>
              <w:spacing w:line="300" w:lineRule="exact"/>
              <w:jc w:val="left"/>
              <w:outlineLvl w:val="0"/>
              <w:rPr>
                <w:rFonts w:ascii="仿宋" w:hAnsi="仿宋" w:eastAsia="仿宋"/>
              </w:rPr>
            </w:pPr>
          </w:p>
        </w:tc>
        <w:tc>
          <w:tcPr>
            <w:tcW w:w="554" w:type="pct"/>
            <w:vMerge w:val="continue"/>
            <w:shd w:val="clear" w:color="auto" w:fill="auto"/>
            <w:vAlign w:val="center"/>
          </w:tcPr>
          <w:p>
            <w:pPr>
              <w:spacing w:line="300" w:lineRule="exact"/>
              <w:jc w:val="left"/>
              <w:outlineLvl w:val="0"/>
              <w:rPr>
                <w:rFonts w:ascii="仿宋" w:hAnsi="仿宋" w:eastAsia="仿宋"/>
              </w:rPr>
            </w:pPr>
          </w:p>
        </w:tc>
        <w:tc>
          <w:tcPr>
            <w:tcW w:w="205" w:type="pct"/>
            <w:vMerge w:val="continue"/>
            <w:shd w:val="clear" w:color="auto" w:fill="auto"/>
            <w:vAlign w:val="center"/>
          </w:tcPr>
          <w:p>
            <w:pPr>
              <w:spacing w:line="300" w:lineRule="exact"/>
              <w:jc w:val="left"/>
              <w:outlineLvl w:val="0"/>
              <w:rPr>
                <w:rFonts w:ascii="仿宋" w:hAnsi="仿宋" w:eastAsia="仿宋"/>
              </w:rPr>
            </w:pPr>
          </w:p>
        </w:tc>
        <w:tc>
          <w:tcPr>
            <w:tcW w:w="355" w:type="pct"/>
            <w:vMerge w:val="continue"/>
            <w:shd w:val="clear" w:color="auto" w:fill="auto"/>
            <w:vAlign w:val="center"/>
          </w:tcPr>
          <w:p>
            <w:pPr>
              <w:spacing w:line="300" w:lineRule="exact"/>
              <w:jc w:val="left"/>
              <w:outlineLvl w:val="0"/>
              <w:rPr>
                <w:rFonts w:ascii="仿宋" w:hAnsi="仿宋" w:eastAsia="仿宋"/>
              </w:rPr>
            </w:pPr>
          </w:p>
        </w:tc>
        <w:tc>
          <w:tcPr>
            <w:tcW w:w="355" w:type="pct"/>
            <w:vMerge w:val="continue"/>
            <w:shd w:val="clear" w:color="auto" w:fill="auto"/>
            <w:vAlign w:val="center"/>
          </w:tcPr>
          <w:p>
            <w:pPr>
              <w:spacing w:line="300" w:lineRule="exact"/>
              <w:jc w:val="left"/>
              <w:outlineLvl w:val="0"/>
              <w:rPr>
                <w:rFonts w:ascii="仿宋" w:hAnsi="仿宋" w:eastAsia="仿宋"/>
              </w:rPr>
            </w:pPr>
          </w:p>
        </w:tc>
        <w:tc>
          <w:tcPr>
            <w:tcW w:w="355"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总计</w:t>
            </w:r>
          </w:p>
        </w:tc>
        <w:tc>
          <w:tcPr>
            <w:tcW w:w="1571" w:type="pct"/>
            <w:gridSpan w:val="5"/>
            <w:shd w:val="clear" w:color="auto" w:fill="auto"/>
            <w:vAlign w:val="center"/>
          </w:tcPr>
          <w:p>
            <w:pPr>
              <w:spacing w:line="300" w:lineRule="exact"/>
              <w:jc w:val="center"/>
              <w:rPr>
                <w:rFonts w:ascii="仿宋" w:hAnsi="仿宋" w:eastAsia="仿宋"/>
                <w:b/>
              </w:rPr>
            </w:pPr>
            <w:r>
              <w:rPr>
                <w:rFonts w:hint="eastAsia" w:ascii="仿宋" w:hAnsi="仿宋" w:eastAsia="仿宋"/>
                <w:b/>
              </w:rPr>
              <w:t>当年部门预算安排资金</w:t>
            </w:r>
          </w:p>
        </w:tc>
        <w:tc>
          <w:tcPr>
            <w:tcW w:w="222" w:type="pct"/>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其他渠道资金</w:t>
            </w:r>
          </w:p>
        </w:tc>
      </w:tr>
      <w:tr>
        <w:trPr>
          <w:tblHeader/>
          <w:jc w:val="center"/>
        </w:trPr>
        <w:tc>
          <w:tcPr>
            <w:tcW w:w="784" w:type="pct"/>
            <w:vMerge w:val="continue"/>
            <w:shd w:val="clear" w:color="auto" w:fill="auto"/>
            <w:vAlign w:val="center"/>
          </w:tcPr>
          <w:p>
            <w:pPr>
              <w:spacing w:line="300" w:lineRule="exact"/>
              <w:jc w:val="left"/>
              <w:outlineLvl w:val="0"/>
              <w:rPr>
                <w:rFonts w:ascii="仿宋" w:hAnsi="仿宋" w:eastAsia="仿宋"/>
              </w:rPr>
            </w:pPr>
          </w:p>
        </w:tc>
        <w:tc>
          <w:tcPr>
            <w:tcW w:w="355" w:type="pct"/>
            <w:vMerge w:val="continue"/>
            <w:shd w:val="clear" w:color="auto" w:fill="auto"/>
            <w:vAlign w:val="center"/>
          </w:tcPr>
          <w:p>
            <w:pPr>
              <w:spacing w:line="300" w:lineRule="exact"/>
              <w:jc w:val="left"/>
              <w:outlineLvl w:val="0"/>
              <w:rPr>
                <w:rFonts w:ascii="仿宋" w:hAnsi="仿宋" w:eastAsia="仿宋"/>
              </w:rPr>
            </w:pPr>
          </w:p>
        </w:tc>
        <w:tc>
          <w:tcPr>
            <w:tcW w:w="244" w:type="pct"/>
            <w:vMerge w:val="continue"/>
            <w:shd w:val="clear" w:color="auto" w:fill="auto"/>
            <w:vAlign w:val="center"/>
          </w:tcPr>
          <w:p>
            <w:pPr>
              <w:spacing w:line="300" w:lineRule="exact"/>
              <w:jc w:val="left"/>
              <w:outlineLvl w:val="0"/>
              <w:rPr>
                <w:rFonts w:ascii="仿宋" w:hAnsi="仿宋" w:eastAsia="仿宋"/>
              </w:rPr>
            </w:pPr>
          </w:p>
        </w:tc>
        <w:tc>
          <w:tcPr>
            <w:tcW w:w="554" w:type="pct"/>
            <w:vMerge w:val="continue"/>
            <w:shd w:val="clear" w:color="auto" w:fill="auto"/>
            <w:vAlign w:val="center"/>
          </w:tcPr>
          <w:p>
            <w:pPr>
              <w:spacing w:line="300" w:lineRule="exact"/>
              <w:jc w:val="left"/>
              <w:outlineLvl w:val="0"/>
              <w:rPr>
                <w:rFonts w:ascii="仿宋" w:hAnsi="仿宋" w:eastAsia="仿宋"/>
              </w:rPr>
            </w:pPr>
          </w:p>
        </w:tc>
        <w:tc>
          <w:tcPr>
            <w:tcW w:w="205" w:type="pct"/>
            <w:vMerge w:val="continue"/>
            <w:shd w:val="clear" w:color="auto" w:fill="auto"/>
            <w:vAlign w:val="center"/>
          </w:tcPr>
          <w:p>
            <w:pPr>
              <w:spacing w:line="300" w:lineRule="exact"/>
              <w:jc w:val="left"/>
              <w:outlineLvl w:val="0"/>
              <w:rPr>
                <w:rFonts w:ascii="仿宋" w:hAnsi="仿宋" w:eastAsia="仿宋"/>
              </w:rPr>
            </w:pPr>
          </w:p>
        </w:tc>
        <w:tc>
          <w:tcPr>
            <w:tcW w:w="355" w:type="pct"/>
            <w:vMerge w:val="continue"/>
            <w:shd w:val="clear" w:color="auto" w:fill="auto"/>
            <w:vAlign w:val="center"/>
          </w:tcPr>
          <w:p>
            <w:pPr>
              <w:spacing w:line="300" w:lineRule="exact"/>
              <w:jc w:val="left"/>
              <w:outlineLvl w:val="0"/>
              <w:rPr>
                <w:rFonts w:ascii="仿宋" w:hAnsi="仿宋" w:eastAsia="仿宋"/>
              </w:rPr>
            </w:pPr>
          </w:p>
        </w:tc>
        <w:tc>
          <w:tcPr>
            <w:tcW w:w="355" w:type="pct"/>
            <w:vMerge w:val="continue"/>
            <w:shd w:val="clear" w:color="auto" w:fill="auto"/>
            <w:vAlign w:val="center"/>
          </w:tcPr>
          <w:p>
            <w:pPr>
              <w:spacing w:line="300" w:lineRule="exact"/>
              <w:jc w:val="left"/>
              <w:outlineLvl w:val="0"/>
              <w:rPr>
                <w:rFonts w:ascii="仿宋" w:hAnsi="仿宋" w:eastAsia="仿宋"/>
              </w:rPr>
            </w:pPr>
          </w:p>
        </w:tc>
        <w:tc>
          <w:tcPr>
            <w:tcW w:w="355" w:type="pct"/>
            <w:vMerge w:val="continue"/>
            <w:shd w:val="clear" w:color="auto" w:fill="auto"/>
            <w:vAlign w:val="center"/>
          </w:tcPr>
          <w:p>
            <w:pPr>
              <w:spacing w:line="300" w:lineRule="exact"/>
              <w:jc w:val="left"/>
              <w:outlineLvl w:val="0"/>
              <w:rPr>
                <w:rFonts w:ascii="仿宋" w:hAnsi="仿宋" w:eastAsia="仿宋"/>
              </w:rPr>
            </w:pPr>
          </w:p>
        </w:tc>
        <w:tc>
          <w:tcPr>
            <w:tcW w:w="355" w:type="pct"/>
            <w:shd w:val="clear" w:color="auto" w:fill="auto"/>
            <w:vAlign w:val="center"/>
          </w:tcPr>
          <w:p>
            <w:pPr>
              <w:spacing w:line="300" w:lineRule="exact"/>
              <w:jc w:val="center"/>
              <w:rPr>
                <w:rFonts w:ascii="仿宋" w:hAnsi="仿宋" w:eastAsia="仿宋"/>
                <w:b/>
              </w:rPr>
            </w:pPr>
            <w:r>
              <w:rPr>
                <w:rFonts w:hint="eastAsia" w:ascii="仿宋" w:hAnsi="仿宋" w:eastAsia="仿宋"/>
                <w:b/>
              </w:rPr>
              <w:t>合计</w:t>
            </w:r>
          </w:p>
        </w:tc>
        <w:tc>
          <w:tcPr>
            <w:tcW w:w="355" w:type="pct"/>
            <w:shd w:val="clear" w:color="auto" w:fill="auto"/>
            <w:vAlign w:val="center"/>
          </w:tcPr>
          <w:p>
            <w:pPr>
              <w:spacing w:line="300" w:lineRule="exact"/>
              <w:jc w:val="center"/>
              <w:rPr>
                <w:rFonts w:ascii="仿宋" w:hAnsi="仿宋" w:eastAsia="仿宋"/>
                <w:b/>
              </w:rPr>
            </w:pPr>
            <w:r>
              <w:rPr>
                <w:rFonts w:hint="eastAsia" w:ascii="仿宋" w:hAnsi="仿宋" w:eastAsia="仿宋"/>
                <w:b/>
              </w:rPr>
              <w:t>一般公共预算拨款</w:t>
            </w:r>
          </w:p>
        </w:tc>
        <w:tc>
          <w:tcPr>
            <w:tcW w:w="274" w:type="pct"/>
            <w:shd w:val="clear" w:color="auto" w:fill="auto"/>
            <w:vAlign w:val="center"/>
          </w:tcPr>
          <w:p>
            <w:pPr>
              <w:spacing w:line="300" w:lineRule="exact"/>
              <w:jc w:val="center"/>
              <w:rPr>
                <w:rFonts w:ascii="仿宋" w:hAnsi="仿宋" w:eastAsia="仿宋"/>
                <w:b/>
              </w:rPr>
            </w:pPr>
            <w:r>
              <w:rPr>
                <w:rFonts w:hint="eastAsia" w:ascii="仿宋" w:hAnsi="仿宋" w:eastAsia="仿宋"/>
                <w:b/>
              </w:rPr>
              <w:t>基金预算拨款</w:t>
            </w:r>
          </w:p>
        </w:tc>
        <w:tc>
          <w:tcPr>
            <w:tcW w:w="275" w:type="pct"/>
            <w:shd w:val="clear" w:color="auto" w:fill="auto"/>
            <w:vAlign w:val="center"/>
          </w:tcPr>
          <w:p>
            <w:pPr>
              <w:spacing w:line="300" w:lineRule="exact"/>
              <w:jc w:val="center"/>
              <w:rPr>
                <w:rFonts w:ascii="仿宋" w:hAnsi="仿宋" w:eastAsia="仿宋"/>
                <w:b/>
              </w:rPr>
            </w:pPr>
            <w:r>
              <w:rPr>
                <w:rFonts w:hint="eastAsia" w:ascii="仿宋" w:hAnsi="仿宋" w:eastAsia="仿宋"/>
                <w:b/>
              </w:rPr>
              <w:t>财政专户核拨</w:t>
            </w:r>
          </w:p>
        </w:tc>
        <w:tc>
          <w:tcPr>
            <w:tcW w:w="312" w:type="pct"/>
            <w:shd w:val="clear" w:color="auto" w:fill="auto"/>
            <w:vAlign w:val="center"/>
          </w:tcPr>
          <w:p>
            <w:pPr>
              <w:spacing w:line="300" w:lineRule="exact"/>
              <w:jc w:val="center"/>
              <w:rPr>
                <w:rFonts w:ascii="仿宋" w:hAnsi="仿宋" w:eastAsia="仿宋"/>
                <w:b/>
              </w:rPr>
            </w:pPr>
            <w:r>
              <w:rPr>
                <w:rFonts w:hint="eastAsia" w:ascii="仿宋" w:hAnsi="仿宋" w:eastAsia="仿宋"/>
                <w:b/>
              </w:rPr>
              <w:t>其他来源收入</w:t>
            </w:r>
          </w:p>
        </w:tc>
        <w:tc>
          <w:tcPr>
            <w:tcW w:w="222" w:type="pct"/>
            <w:vMerge w:val="continue"/>
            <w:shd w:val="clear" w:color="auto" w:fill="auto"/>
            <w:vAlign w:val="center"/>
          </w:tcPr>
          <w:p>
            <w:pPr>
              <w:spacing w:line="300" w:lineRule="exact"/>
              <w:jc w:val="left"/>
              <w:outlineLvl w:val="0"/>
              <w:rPr>
                <w:rFonts w:ascii="仿宋" w:hAnsi="仿宋" w:eastAsia="仿宋"/>
              </w:rPr>
            </w:pPr>
          </w:p>
        </w:tc>
      </w:tr>
      <w:tr>
        <w:trPr>
          <w:jc w:val="center"/>
        </w:trPr>
        <w:tc>
          <w:tcPr>
            <w:tcW w:w="784" w:type="pct"/>
            <w:shd w:val="clear" w:color="auto" w:fill="auto"/>
            <w:vAlign w:val="center"/>
          </w:tcPr>
          <w:p>
            <w:pPr>
              <w:spacing w:line="300" w:lineRule="exact"/>
              <w:jc w:val="center"/>
              <w:rPr>
                <w:rFonts w:ascii="仿宋" w:hAnsi="仿宋" w:eastAsia="仿宋"/>
                <w:b/>
              </w:rPr>
            </w:pPr>
            <w:r>
              <w:rPr>
                <w:rFonts w:hint="eastAsia" w:ascii="仿宋" w:hAnsi="仿宋" w:eastAsia="仿宋"/>
                <w:b/>
              </w:rPr>
              <w:t>合　计</w:t>
            </w:r>
          </w:p>
        </w:tc>
        <w:tc>
          <w:tcPr>
            <w:tcW w:w="355" w:type="pct"/>
            <w:shd w:val="clear" w:color="auto" w:fill="auto"/>
            <w:vAlign w:val="center"/>
          </w:tcPr>
          <w:p>
            <w:pPr>
              <w:spacing w:line="300" w:lineRule="exact"/>
              <w:jc w:val="right"/>
              <w:rPr>
                <w:rFonts w:ascii="仿宋" w:hAnsi="仿宋" w:eastAsia="仿宋"/>
                <w:b/>
              </w:rPr>
            </w:pPr>
          </w:p>
        </w:tc>
        <w:tc>
          <w:tcPr>
            <w:tcW w:w="244" w:type="pct"/>
            <w:shd w:val="clear" w:color="auto" w:fill="auto"/>
            <w:vAlign w:val="center"/>
          </w:tcPr>
          <w:p>
            <w:pPr>
              <w:spacing w:line="300" w:lineRule="exact"/>
              <w:jc w:val="left"/>
              <w:rPr>
                <w:rFonts w:ascii="仿宋" w:hAnsi="仿宋" w:eastAsia="仿宋"/>
                <w:b/>
              </w:rPr>
            </w:pPr>
          </w:p>
        </w:tc>
        <w:tc>
          <w:tcPr>
            <w:tcW w:w="554" w:type="pct"/>
            <w:shd w:val="clear" w:color="auto" w:fill="auto"/>
            <w:vAlign w:val="center"/>
          </w:tcPr>
          <w:p>
            <w:pPr>
              <w:spacing w:line="300" w:lineRule="exact"/>
              <w:jc w:val="left"/>
              <w:rPr>
                <w:rFonts w:ascii="仿宋" w:hAnsi="仿宋" w:eastAsia="仿宋"/>
                <w:b/>
              </w:rPr>
            </w:pPr>
          </w:p>
        </w:tc>
        <w:tc>
          <w:tcPr>
            <w:tcW w:w="205" w:type="pct"/>
            <w:shd w:val="clear" w:color="auto" w:fill="auto"/>
            <w:vAlign w:val="center"/>
          </w:tcPr>
          <w:p>
            <w:pPr>
              <w:spacing w:line="300" w:lineRule="exact"/>
              <w:jc w:val="lef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274" w:type="pct"/>
            <w:shd w:val="clear" w:color="auto" w:fill="auto"/>
            <w:vAlign w:val="center"/>
          </w:tcPr>
          <w:p>
            <w:pPr>
              <w:spacing w:line="300" w:lineRule="exact"/>
              <w:jc w:val="right"/>
              <w:rPr>
                <w:rFonts w:ascii="仿宋" w:hAnsi="仿宋" w:eastAsia="仿宋"/>
                <w:b/>
              </w:rPr>
            </w:pPr>
          </w:p>
        </w:tc>
        <w:tc>
          <w:tcPr>
            <w:tcW w:w="275" w:type="pct"/>
            <w:shd w:val="clear" w:color="auto" w:fill="auto"/>
            <w:vAlign w:val="center"/>
          </w:tcPr>
          <w:p>
            <w:pPr>
              <w:spacing w:line="300" w:lineRule="exact"/>
              <w:jc w:val="right"/>
              <w:rPr>
                <w:rFonts w:ascii="仿宋" w:hAnsi="仿宋" w:eastAsia="仿宋"/>
                <w:b/>
              </w:rPr>
            </w:pPr>
          </w:p>
        </w:tc>
        <w:tc>
          <w:tcPr>
            <w:tcW w:w="312" w:type="pct"/>
            <w:shd w:val="clear" w:color="auto" w:fill="auto"/>
            <w:vAlign w:val="center"/>
          </w:tcPr>
          <w:p>
            <w:pPr>
              <w:spacing w:line="300" w:lineRule="exact"/>
              <w:jc w:val="right"/>
              <w:rPr>
                <w:rFonts w:ascii="仿宋" w:hAnsi="仿宋" w:eastAsia="仿宋"/>
                <w:b/>
              </w:rPr>
            </w:pPr>
          </w:p>
        </w:tc>
        <w:tc>
          <w:tcPr>
            <w:tcW w:w="222" w:type="pct"/>
            <w:shd w:val="clear" w:color="auto" w:fill="auto"/>
            <w:vAlign w:val="center"/>
          </w:tcPr>
          <w:p>
            <w:pPr>
              <w:spacing w:line="300" w:lineRule="exact"/>
              <w:jc w:val="right"/>
              <w:rPr>
                <w:rFonts w:ascii="仿宋" w:hAnsi="仿宋" w:eastAsia="仿宋"/>
                <w:b/>
              </w:rPr>
            </w:pPr>
          </w:p>
        </w:tc>
      </w:tr>
      <w:tr>
        <w:trPr>
          <w:jc w:val="center"/>
        </w:trPr>
        <w:tc>
          <w:tcPr>
            <w:tcW w:w="784" w:type="pct"/>
            <w:shd w:val="clear" w:color="auto" w:fill="auto"/>
            <w:vAlign w:val="center"/>
          </w:tcPr>
          <w:p>
            <w:pPr>
              <w:spacing w:line="300" w:lineRule="exact"/>
              <w:jc w:val="center"/>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244" w:type="pct"/>
            <w:shd w:val="clear" w:color="auto" w:fill="auto"/>
            <w:vAlign w:val="center"/>
          </w:tcPr>
          <w:p>
            <w:pPr>
              <w:spacing w:line="300" w:lineRule="exact"/>
              <w:jc w:val="left"/>
              <w:rPr>
                <w:rFonts w:ascii="仿宋" w:hAnsi="仿宋" w:eastAsia="仿宋"/>
                <w:b/>
              </w:rPr>
            </w:pPr>
          </w:p>
        </w:tc>
        <w:tc>
          <w:tcPr>
            <w:tcW w:w="554" w:type="pct"/>
            <w:shd w:val="clear" w:color="auto" w:fill="auto"/>
            <w:vAlign w:val="center"/>
          </w:tcPr>
          <w:p>
            <w:pPr>
              <w:spacing w:line="300" w:lineRule="exact"/>
              <w:jc w:val="left"/>
              <w:rPr>
                <w:rFonts w:ascii="仿宋" w:hAnsi="仿宋" w:eastAsia="仿宋"/>
                <w:b/>
              </w:rPr>
            </w:pPr>
          </w:p>
        </w:tc>
        <w:tc>
          <w:tcPr>
            <w:tcW w:w="205" w:type="pct"/>
            <w:shd w:val="clear" w:color="auto" w:fill="auto"/>
            <w:vAlign w:val="center"/>
          </w:tcPr>
          <w:p>
            <w:pPr>
              <w:spacing w:line="300" w:lineRule="exact"/>
              <w:jc w:val="lef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355" w:type="pct"/>
            <w:shd w:val="clear" w:color="auto" w:fill="auto"/>
            <w:vAlign w:val="center"/>
          </w:tcPr>
          <w:p>
            <w:pPr>
              <w:spacing w:line="300" w:lineRule="exact"/>
              <w:jc w:val="right"/>
              <w:rPr>
                <w:rFonts w:ascii="仿宋" w:hAnsi="仿宋" w:eastAsia="仿宋"/>
                <w:b/>
              </w:rPr>
            </w:pPr>
          </w:p>
        </w:tc>
        <w:tc>
          <w:tcPr>
            <w:tcW w:w="274" w:type="pct"/>
            <w:shd w:val="clear" w:color="auto" w:fill="auto"/>
            <w:vAlign w:val="center"/>
          </w:tcPr>
          <w:p>
            <w:pPr>
              <w:spacing w:line="300" w:lineRule="exact"/>
              <w:jc w:val="right"/>
              <w:rPr>
                <w:rFonts w:ascii="仿宋" w:hAnsi="仿宋" w:eastAsia="仿宋"/>
                <w:b/>
              </w:rPr>
            </w:pPr>
          </w:p>
        </w:tc>
        <w:tc>
          <w:tcPr>
            <w:tcW w:w="275" w:type="pct"/>
            <w:shd w:val="clear" w:color="auto" w:fill="auto"/>
            <w:vAlign w:val="center"/>
          </w:tcPr>
          <w:p>
            <w:pPr>
              <w:spacing w:line="300" w:lineRule="exact"/>
              <w:jc w:val="right"/>
              <w:rPr>
                <w:rFonts w:ascii="仿宋" w:hAnsi="仿宋" w:eastAsia="仿宋"/>
                <w:b/>
              </w:rPr>
            </w:pPr>
          </w:p>
        </w:tc>
        <w:tc>
          <w:tcPr>
            <w:tcW w:w="312" w:type="pct"/>
            <w:shd w:val="clear" w:color="auto" w:fill="auto"/>
            <w:vAlign w:val="center"/>
          </w:tcPr>
          <w:p>
            <w:pPr>
              <w:spacing w:line="300" w:lineRule="exact"/>
              <w:jc w:val="right"/>
              <w:rPr>
                <w:rFonts w:ascii="仿宋" w:hAnsi="仿宋" w:eastAsia="仿宋"/>
                <w:b/>
              </w:rPr>
            </w:pPr>
          </w:p>
        </w:tc>
        <w:tc>
          <w:tcPr>
            <w:tcW w:w="222" w:type="pct"/>
            <w:shd w:val="clear" w:color="auto" w:fill="auto"/>
            <w:vAlign w:val="center"/>
          </w:tcPr>
          <w:p>
            <w:pPr>
              <w:spacing w:line="300" w:lineRule="exact"/>
              <w:jc w:val="right"/>
              <w:rPr>
                <w:rFonts w:ascii="仿宋" w:hAnsi="仿宋" w:eastAsia="仿宋"/>
                <w:b/>
              </w:rPr>
            </w:pPr>
          </w:p>
        </w:tc>
      </w:tr>
      <w:tr>
        <w:trPr>
          <w:jc w:val="center"/>
        </w:trPr>
        <w:tc>
          <w:tcPr>
            <w:tcW w:w="784" w:type="pct"/>
            <w:shd w:val="clear" w:color="auto" w:fill="auto"/>
            <w:vAlign w:val="center"/>
          </w:tcPr>
          <w:p>
            <w:pPr>
              <w:spacing w:line="300" w:lineRule="exact"/>
              <w:jc w:val="lef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244" w:type="pct"/>
            <w:shd w:val="clear" w:color="auto" w:fill="auto"/>
            <w:vAlign w:val="center"/>
          </w:tcPr>
          <w:p>
            <w:pPr>
              <w:spacing w:line="300" w:lineRule="exact"/>
              <w:jc w:val="left"/>
              <w:rPr>
                <w:rFonts w:ascii="仿宋" w:hAnsi="仿宋" w:eastAsia="仿宋"/>
              </w:rPr>
            </w:pPr>
          </w:p>
        </w:tc>
        <w:tc>
          <w:tcPr>
            <w:tcW w:w="554" w:type="pct"/>
            <w:shd w:val="clear" w:color="auto" w:fill="auto"/>
            <w:vAlign w:val="center"/>
          </w:tcPr>
          <w:p>
            <w:pPr>
              <w:spacing w:line="300" w:lineRule="exact"/>
              <w:jc w:val="left"/>
              <w:rPr>
                <w:rFonts w:ascii="仿宋" w:hAnsi="仿宋" w:eastAsia="仿宋"/>
              </w:rPr>
            </w:pPr>
          </w:p>
        </w:tc>
        <w:tc>
          <w:tcPr>
            <w:tcW w:w="205" w:type="pct"/>
            <w:shd w:val="clear" w:color="auto" w:fill="auto"/>
            <w:vAlign w:val="center"/>
          </w:tcPr>
          <w:p>
            <w:pPr>
              <w:spacing w:line="300" w:lineRule="exact"/>
              <w:jc w:val="lef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274" w:type="pct"/>
            <w:shd w:val="clear" w:color="auto" w:fill="auto"/>
            <w:vAlign w:val="center"/>
          </w:tcPr>
          <w:p>
            <w:pPr>
              <w:spacing w:line="300" w:lineRule="exact"/>
              <w:jc w:val="right"/>
              <w:rPr>
                <w:rFonts w:ascii="仿宋" w:hAnsi="仿宋" w:eastAsia="仿宋"/>
              </w:rPr>
            </w:pPr>
          </w:p>
        </w:tc>
        <w:tc>
          <w:tcPr>
            <w:tcW w:w="275" w:type="pct"/>
            <w:shd w:val="clear" w:color="auto" w:fill="auto"/>
            <w:vAlign w:val="center"/>
          </w:tcPr>
          <w:p>
            <w:pPr>
              <w:spacing w:line="300" w:lineRule="exact"/>
              <w:jc w:val="right"/>
              <w:rPr>
                <w:rFonts w:ascii="仿宋" w:hAnsi="仿宋" w:eastAsia="仿宋"/>
              </w:rPr>
            </w:pPr>
          </w:p>
        </w:tc>
        <w:tc>
          <w:tcPr>
            <w:tcW w:w="312" w:type="pct"/>
            <w:shd w:val="clear" w:color="auto" w:fill="auto"/>
            <w:vAlign w:val="center"/>
          </w:tcPr>
          <w:p>
            <w:pPr>
              <w:spacing w:line="300" w:lineRule="exact"/>
              <w:jc w:val="right"/>
              <w:rPr>
                <w:rFonts w:ascii="仿宋" w:hAnsi="仿宋" w:eastAsia="仿宋"/>
              </w:rPr>
            </w:pPr>
          </w:p>
        </w:tc>
        <w:tc>
          <w:tcPr>
            <w:tcW w:w="222" w:type="pct"/>
            <w:shd w:val="clear" w:color="auto" w:fill="auto"/>
            <w:vAlign w:val="center"/>
          </w:tcPr>
          <w:p>
            <w:pPr>
              <w:spacing w:line="300" w:lineRule="exact"/>
              <w:jc w:val="right"/>
              <w:rPr>
                <w:rFonts w:ascii="仿宋" w:hAnsi="仿宋" w:eastAsia="仿宋"/>
              </w:rPr>
            </w:pPr>
          </w:p>
        </w:tc>
      </w:tr>
      <w:tr>
        <w:trPr>
          <w:jc w:val="center"/>
        </w:trPr>
        <w:tc>
          <w:tcPr>
            <w:tcW w:w="784" w:type="pct"/>
            <w:shd w:val="clear" w:color="auto" w:fill="auto"/>
            <w:vAlign w:val="center"/>
          </w:tcPr>
          <w:p>
            <w:pPr>
              <w:spacing w:line="300" w:lineRule="exact"/>
              <w:jc w:val="left"/>
              <w:rPr>
                <w:rFonts w:ascii="仿宋" w:hAnsi="仿宋" w:eastAsia="仿宋"/>
              </w:rPr>
            </w:pPr>
          </w:p>
        </w:tc>
        <w:tc>
          <w:tcPr>
            <w:tcW w:w="355" w:type="pct"/>
            <w:shd w:val="clear" w:color="auto" w:fill="auto"/>
            <w:vAlign w:val="center"/>
          </w:tcPr>
          <w:p>
            <w:pPr>
              <w:spacing w:line="300" w:lineRule="exact"/>
              <w:ind w:right="210"/>
              <w:jc w:val="right"/>
              <w:rPr>
                <w:rFonts w:ascii="仿宋" w:hAnsi="仿宋" w:eastAsia="仿宋"/>
              </w:rPr>
            </w:pPr>
          </w:p>
        </w:tc>
        <w:tc>
          <w:tcPr>
            <w:tcW w:w="244" w:type="pct"/>
            <w:shd w:val="clear" w:color="auto" w:fill="auto"/>
            <w:vAlign w:val="center"/>
          </w:tcPr>
          <w:p>
            <w:pPr>
              <w:spacing w:line="300" w:lineRule="exact"/>
              <w:jc w:val="left"/>
              <w:rPr>
                <w:rFonts w:ascii="仿宋" w:hAnsi="仿宋" w:eastAsia="仿宋"/>
              </w:rPr>
            </w:pPr>
          </w:p>
        </w:tc>
        <w:tc>
          <w:tcPr>
            <w:tcW w:w="554" w:type="pct"/>
            <w:shd w:val="clear" w:color="auto" w:fill="auto"/>
            <w:vAlign w:val="center"/>
          </w:tcPr>
          <w:p>
            <w:pPr>
              <w:spacing w:line="300" w:lineRule="exact"/>
              <w:jc w:val="left"/>
              <w:rPr>
                <w:rFonts w:ascii="仿宋" w:hAnsi="仿宋" w:eastAsia="仿宋"/>
              </w:rPr>
            </w:pPr>
          </w:p>
        </w:tc>
        <w:tc>
          <w:tcPr>
            <w:tcW w:w="205" w:type="pct"/>
            <w:shd w:val="clear" w:color="auto" w:fill="auto"/>
            <w:vAlign w:val="center"/>
          </w:tcPr>
          <w:p>
            <w:pPr>
              <w:spacing w:line="300" w:lineRule="exact"/>
              <w:jc w:val="lef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355" w:type="pct"/>
            <w:shd w:val="clear" w:color="auto" w:fill="auto"/>
            <w:vAlign w:val="center"/>
          </w:tcPr>
          <w:p>
            <w:pPr>
              <w:spacing w:line="300" w:lineRule="exact"/>
              <w:jc w:val="right"/>
              <w:rPr>
                <w:rFonts w:ascii="仿宋" w:hAnsi="仿宋" w:eastAsia="仿宋"/>
              </w:rPr>
            </w:pPr>
          </w:p>
        </w:tc>
        <w:tc>
          <w:tcPr>
            <w:tcW w:w="274" w:type="pct"/>
            <w:shd w:val="clear" w:color="auto" w:fill="auto"/>
            <w:vAlign w:val="center"/>
          </w:tcPr>
          <w:p>
            <w:pPr>
              <w:spacing w:line="300" w:lineRule="exact"/>
              <w:jc w:val="right"/>
              <w:rPr>
                <w:rFonts w:ascii="仿宋" w:hAnsi="仿宋" w:eastAsia="仿宋"/>
              </w:rPr>
            </w:pPr>
          </w:p>
        </w:tc>
        <w:tc>
          <w:tcPr>
            <w:tcW w:w="275" w:type="pct"/>
            <w:shd w:val="clear" w:color="auto" w:fill="auto"/>
            <w:vAlign w:val="center"/>
          </w:tcPr>
          <w:p>
            <w:pPr>
              <w:spacing w:line="300" w:lineRule="exact"/>
              <w:jc w:val="right"/>
              <w:rPr>
                <w:rFonts w:ascii="仿宋" w:hAnsi="仿宋" w:eastAsia="仿宋"/>
              </w:rPr>
            </w:pPr>
          </w:p>
        </w:tc>
        <w:tc>
          <w:tcPr>
            <w:tcW w:w="312" w:type="pct"/>
            <w:shd w:val="clear" w:color="auto" w:fill="auto"/>
            <w:vAlign w:val="center"/>
          </w:tcPr>
          <w:p>
            <w:pPr>
              <w:spacing w:line="300" w:lineRule="exact"/>
              <w:jc w:val="right"/>
              <w:rPr>
                <w:rFonts w:ascii="仿宋" w:hAnsi="仿宋" w:eastAsia="仿宋"/>
              </w:rPr>
            </w:pPr>
          </w:p>
        </w:tc>
        <w:tc>
          <w:tcPr>
            <w:tcW w:w="222" w:type="pct"/>
            <w:shd w:val="clear" w:color="auto" w:fill="auto"/>
            <w:vAlign w:val="center"/>
          </w:tcPr>
          <w:p>
            <w:pPr>
              <w:spacing w:line="300" w:lineRule="exact"/>
              <w:jc w:val="right"/>
              <w:rPr>
                <w:rFonts w:ascii="仿宋" w:hAnsi="仿宋" w:eastAsia="仿宋"/>
              </w:rPr>
            </w:pPr>
          </w:p>
        </w:tc>
      </w:tr>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 w:hAnsi="仿宋" w:eastAsia="仿宋" w:cs="Times New Roman"/>
          <w:sz w:val="32"/>
          <w:szCs w:val="32"/>
        </w:rPr>
        <w:t>我单位（含所属单位）上年末固定资产金额为</w:t>
      </w:r>
      <w:r>
        <w:rPr>
          <w:rFonts w:ascii="仿宋" w:hAnsi="仿宋" w:eastAsia="仿宋" w:cs="Times New Roman"/>
          <w:sz w:val="32"/>
          <w:szCs w:val="32"/>
        </w:rPr>
        <w:t>103.39</w:t>
      </w:r>
      <w:r>
        <w:rPr>
          <w:rFonts w:hint="eastAsia" w:ascii="仿宋" w:hAnsi="仿宋" w:eastAsia="仿宋" w:cs="Times New Roman"/>
          <w:sz w:val="32"/>
          <w:szCs w:val="32"/>
        </w:rPr>
        <w:t>万元（详见下表）。本年度本单位拟购置固定资产总额为0万元。</w:t>
      </w:r>
    </w:p>
    <w:p>
      <w:pPr>
        <w:ind w:firstLine="640"/>
        <w:rPr>
          <w:rFonts w:ascii="仿宋_GB2312" w:hAnsi="黑体"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固定资产占用情况表</w:t>
            </w:r>
          </w:p>
        </w:tc>
      </w:tr>
      <w:tr>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ascii="宋体" w:hAnsi="宋体" w:eastAsia="宋体" w:cs="宋体"/>
                <w:kern w:val="0"/>
                <w:sz w:val="22"/>
              </w:rPr>
              <w:t xml:space="preserve"> </w:t>
            </w:r>
            <w:r>
              <w:rPr>
                <w:rFonts w:hint="eastAsia" w:ascii="宋体" w:hAnsi="宋体" w:eastAsia="宋体" w:cs="宋体"/>
                <w:kern w:val="0"/>
                <w:sz w:val="22"/>
              </w:rPr>
              <w:t>河北宽城经济开发区</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103.39</w:t>
            </w:r>
          </w:p>
        </w:tc>
      </w:tr>
      <w:tr>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r>
      <w:tr>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r>
      <w:tr>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ascii="Times New Roman" w:hAnsi="Times New Roman" w:cs="Times New Roman"/>
                <w:sz w:val="22"/>
              </w:rPr>
              <w:t>36</w:t>
            </w:r>
          </w:p>
        </w:tc>
      </w:tr>
      <w:tr>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0</w:t>
            </w:r>
          </w:p>
        </w:tc>
      </w:tr>
      <w:tr>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141</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ascii="Times New Roman" w:hAnsi="Times New Roman" w:cs="Times New Roman"/>
                <w:sz w:val="22"/>
              </w:rPr>
              <w:t>67.39</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八、名词解释    </w:t>
      </w:r>
    </w:p>
    <w:p>
      <w:pPr>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财政拨款收入：本年度从本级财政部门取得的财政拨款，包括一般公共预算财政拨款和政府性基金预算财政拨款。</w:t>
      </w:r>
    </w:p>
    <w:p>
      <w:pPr>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基本支出：填列单位为保障机构正常运转、完成日常工作任务而发生的各项支出。</w:t>
      </w:r>
    </w:p>
    <w:p>
      <w:pPr>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4、其他交通费用：填列单位除公务用车运行维护费以外的其他交通费用。如飞机、船舶等的燃料费、维修费、过桥过路费、保险费、出租车费用、公务交通补贴等。</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方正书宋_GBK">
    <w:panose1 w:val="02000000000000000000"/>
    <w:charset w:val="86"/>
    <w:family w:val="script"/>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Simsun">
    <w:altName w:val="苹方-简"/>
    <w:panose1 w:val="00000000000000000000"/>
    <w:charset w:val="00"/>
    <w:family w:val="roman"/>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_GBK">
    <w:altName w:val="汉仪书宋二KW"/>
    <w:panose1 w:val="00000000000000000000"/>
    <w:charset w:val="86"/>
    <w:family w:val="script"/>
    <w:pitch w:val="default"/>
    <w:sig w:usb0="00000000" w:usb1="00000000" w:usb2="0000001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20E98"/>
    <w:rsid w:val="00034786"/>
    <w:rsid w:val="00037AF6"/>
    <w:rsid w:val="00042F57"/>
    <w:rsid w:val="00051422"/>
    <w:rsid w:val="0006483E"/>
    <w:rsid w:val="00075D5F"/>
    <w:rsid w:val="0008102F"/>
    <w:rsid w:val="000B529B"/>
    <w:rsid w:val="000B5B7F"/>
    <w:rsid w:val="000C3A19"/>
    <w:rsid w:val="000E0955"/>
    <w:rsid w:val="00100ED3"/>
    <w:rsid w:val="001245BB"/>
    <w:rsid w:val="001251A3"/>
    <w:rsid w:val="001B4EF3"/>
    <w:rsid w:val="001C4A49"/>
    <w:rsid w:val="001F7873"/>
    <w:rsid w:val="00241FD4"/>
    <w:rsid w:val="00251B12"/>
    <w:rsid w:val="00296113"/>
    <w:rsid w:val="002A673A"/>
    <w:rsid w:val="002B004C"/>
    <w:rsid w:val="002C07BE"/>
    <w:rsid w:val="002C5E13"/>
    <w:rsid w:val="002C62BC"/>
    <w:rsid w:val="002E0EB8"/>
    <w:rsid w:val="002F3E58"/>
    <w:rsid w:val="0030461E"/>
    <w:rsid w:val="0030542C"/>
    <w:rsid w:val="00311B7A"/>
    <w:rsid w:val="00372FA3"/>
    <w:rsid w:val="003D417F"/>
    <w:rsid w:val="003F60E9"/>
    <w:rsid w:val="003F6BB8"/>
    <w:rsid w:val="004125CD"/>
    <w:rsid w:val="004248B8"/>
    <w:rsid w:val="00424943"/>
    <w:rsid w:val="0043175C"/>
    <w:rsid w:val="00437296"/>
    <w:rsid w:val="00451590"/>
    <w:rsid w:val="00451871"/>
    <w:rsid w:val="004631FC"/>
    <w:rsid w:val="004706DE"/>
    <w:rsid w:val="00472923"/>
    <w:rsid w:val="00496109"/>
    <w:rsid w:val="004A6247"/>
    <w:rsid w:val="004B0C3A"/>
    <w:rsid w:val="004D5788"/>
    <w:rsid w:val="004E3066"/>
    <w:rsid w:val="004E74CD"/>
    <w:rsid w:val="00516E04"/>
    <w:rsid w:val="005219B1"/>
    <w:rsid w:val="00530559"/>
    <w:rsid w:val="00565588"/>
    <w:rsid w:val="00572067"/>
    <w:rsid w:val="00573562"/>
    <w:rsid w:val="00590E6D"/>
    <w:rsid w:val="00590ECE"/>
    <w:rsid w:val="00592ADD"/>
    <w:rsid w:val="005E716A"/>
    <w:rsid w:val="005F513E"/>
    <w:rsid w:val="00614A29"/>
    <w:rsid w:val="00643AA7"/>
    <w:rsid w:val="00673D76"/>
    <w:rsid w:val="00674CD7"/>
    <w:rsid w:val="006854F0"/>
    <w:rsid w:val="006B1C4A"/>
    <w:rsid w:val="006B610D"/>
    <w:rsid w:val="006E49F5"/>
    <w:rsid w:val="006F1AC8"/>
    <w:rsid w:val="007013C8"/>
    <w:rsid w:val="00717B1E"/>
    <w:rsid w:val="00753836"/>
    <w:rsid w:val="0075393C"/>
    <w:rsid w:val="00754592"/>
    <w:rsid w:val="00776C08"/>
    <w:rsid w:val="007828D4"/>
    <w:rsid w:val="00787CC6"/>
    <w:rsid w:val="007A5FBA"/>
    <w:rsid w:val="007C219A"/>
    <w:rsid w:val="007E1DA8"/>
    <w:rsid w:val="007F5A52"/>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00BAE"/>
    <w:rsid w:val="00A44E3D"/>
    <w:rsid w:val="00A72D2E"/>
    <w:rsid w:val="00A74447"/>
    <w:rsid w:val="00A74CE5"/>
    <w:rsid w:val="00A911E7"/>
    <w:rsid w:val="00A939D9"/>
    <w:rsid w:val="00AA7006"/>
    <w:rsid w:val="00B07D9E"/>
    <w:rsid w:val="00B20712"/>
    <w:rsid w:val="00B26CB1"/>
    <w:rsid w:val="00B43238"/>
    <w:rsid w:val="00B45DD3"/>
    <w:rsid w:val="00B52632"/>
    <w:rsid w:val="00B727A9"/>
    <w:rsid w:val="00B75216"/>
    <w:rsid w:val="00B91D52"/>
    <w:rsid w:val="00B9490F"/>
    <w:rsid w:val="00BA1ACD"/>
    <w:rsid w:val="00BD09F8"/>
    <w:rsid w:val="00BE29A3"/>
    <w:rsid w:val="00BF38B5"/>
    <w:rsid w:val="00C034B2"/>
    <w:rsid w:val="00CA7176"/>
    <w:rsid w:val="00CB3D48"/>
    <w:rsid w:val="00CB4665"/>
    <w:rsid w:val="00CC3E5A"/>
    <w:rsid w:val="00CC75B0"/>
    <w:rsid w:val="00CD2773"/>
    <w:rsid w:val="00CE143B"/>
    <w:rsid w:val="00D0024A"/>
    <w:rsid w:val="00D27003"/>
    <w:rsid w:val="00D44410"/>
    <w:rsid w:val="00D64C86"/>
    <w:rsid w:val="00DB4A9B"/>
    <w:rsid w:val="00DD139D"/>
    <w:rsid w:val="00E167C7"/>
    <w:rsid w:val="00E2482E"/>
    <w:rsid w:val="00E33405"/>
    <w:rsid w:val="00E54375"/>
    <w:rsid w:val="00E73D47"/>
    <w:rsid w:val="00EC47F6"/>
    <w:rsid w:val="00EE65B8"/>
    <w:rsid w:val="00F149E2"/>
    <w:rsid w:val="00F46547"/>
    <w:rsid w:val="00F66032"/>
    <w:rsid w:val="00F87C1E"/>
    <w:rsid w:val="00F958C2"/>
    <w:rsid w:val="00FB516A"/>
    <w:rsid w:val="00FC7EAA"/>
    <w:rsid w:val="F9F4D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page number"/>
    <w:semiHidden/>
    <w:unhideWhenUsed/>
    <w:uiPriority w:val="99"/>
  </w:style>
  <w:style w:type="character" w:styleId="11">
    <w:name w:val="Hyperlink"/>
    <w:unhideWhenUsed/>
    <w:uiPriority w:val="99"/>
    <w:rPr>
      <w:color w:val="0000FF"/>
      <w:u w:val="single"/>
    </w:rPr>
  </w:style>
  <w:style w:type="character" w:styleId="12">
    <w:name w:val="footnote reference"/>
    <w:semiHidden/>
    <w:unhideWhenUsed/>
    <w:qFormat/>
    <w:uiPriority w:val="99"/>
    <w:rPr>
      <w:vertAlign w:val="superscript"/>
    </w:rPr>
  </w:style>
  <w:style w:type="character" w:customStyle="1" w:styleId="13">
    <w:name w:val="页眉 字符"/>
    <w:basedOn w:val="9"/>
    <w:link w:val="4"/>
    <w:uiPriority w:val="99"/>
    <w:rPr>
      <w:rFonts w:ascii="Times New Roman" w:hAnsi="Times New Roman" w:eastAsia="宋体" w:cs="Times New Roman"/>
      <w:sz w:val="18"/>
      <w:szCs w:val="18"/>
    </w:rPr>
  </w:style>
  <w:style w:type="character" w:customStyle="1" w:styleId="14">
    <w:name w:val="页脚 字符"/>
    <w:basedOn w:val="9"/>
    <w:link w:val="3"/>
    <w:qFormat/>
    <w:uiPriority w:val="99"/>
    <w:rPr>
      <w:rFonts w:ascii="Times New Roman" w:hAnsi="Times New Roman" w:eastAsia="宋体" w:cs="Times New Roman"/>
      <w:sz w:val="18"/>
      <w:szCs w:val="18"/>
    </w:rPr>
  </w:style>
  <w:style w:type="character" w:customStyle="1" w:styleId="15">
    <w:name w:val="批注框文本 字符"/>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字符"/>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1098</Words>
  <Characters>6259</Characters>
  <Lines>52</Lines>
  <Paragraphs>14</Paragraphs>
  <TotalTime>249</TotalTime>
  <ScaleCrop>false</ScaleCrop>
  <LinksUpToDate>false</LinksUpToDate>
  <CharactersWithSpaces>7343</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2019-01-15T08:52:00Z</dcterms:created>
  <dc:creator>guest</dc:creator>
  <cp:lastModifiedBy>阿言姑娘</cp:lastModifiedBy>
  <cp:lastPrinted>2017-11-09T09:12:00Z</cp:lastPrinted>
  <dcterms:modified xsi:type="dcterms:W3CDTF">2023-05-31T16:14:40Z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C7C34F1AB13C9C6AF0017764B35A7530_42</vt:lpwstr>
  </property>
</Properties>
</file>