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rPr>
          <w:rFonts w:asciiTheme="minorHAnsi" w:hAnsiTheme="minorHAnsi"/>
          <w:lang w:val="uk-UA"/>
        </w:rPr>
      </w:pPr>
    </w:p>
    <w:p>
      <w:r>
        <w:rPr>
          <w:rFonts w:ascii="方正楷体_GBK" w:hAnsi="方正楷体_GBK" w:eastAsia="方正楷体_GBK" w:cs="方正楷体_GBK"/>
          <w:b/>
          <w:color w:val="000000"/>
          <w:sz w:val="28"/>
        </w:rPr>
        <w:t>部门预算公开表</w:t>
      </w:r>
    </w:p>
    <w:p>
      <w:pPr>
        <w:pStyle w:val="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8"/>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8"/>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8"/>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37</w:t>
      </w:r>
      <w:r>
        <w:fldChar w:fldCharType="end"/>
      </w:r>
      <w:r>
        <w:fldChar w:fldCharType="end"/>
      </w:r>
    </w:p>
    <w:p>
      <w:pPr>
        <w:pStyle w:val="8"/>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pPr>
        <w:pStyle w:val="8"/>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8"/>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pPr>
            <w:r>
              <w:rPr>
                <w:rFonts w:hint="eastAsia"/>
              </w:rPr>
              <w:t>[357001]宽城满族自治县旅游和文化广电局本级</w:t>
            </w:r>
          </w:p>
        </w:tc>
        <w:tc>
          <w:tcPr>
            <w:tcW w:w="2126" w:type="dxa"/>
            <w:tcBorders>
              <w:top w:val="single" w:color="FFFFFF" w:sz="6" w:space="0"/>
              <w:left w:val="single" w:color="FFFFFF" w:sz="6" w:space="0"/>
              <w:right w:val="single" w:color="FFFFFF" w:sz="6" w:space="0"/>
            </w:tcBorders>
            <w:vAlign w:val="center"/>
          </w:tcPr>
          <w:p>
            <w:pPr>
              <w:pStyle w:val="1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t>1</w:t>
            </w:r>
          </w:p>
        </w:tc>
        <w:tc>
          <w:tcPr>
            <w:tcW w:w="4535" w:type="dxa"/>
            <w:vAlign w:val="center"/>
          </w:tcPr>
          <w:p>
            <w:pPr>
              <w:pStyle w:val="20"/>
            </w:pPr>
            <w:r>
              <w:t>一、一般公共预算拨款收入</w:t>
            </w:r>
          </w:p>
        </w:tc>
        <w:tc>
          <w:tcPr>
            <w:tcW w:w="2126" w:type="dxa"/>
            <w:vAlign w:val="center"/>
          </w:tcPr>
          <w:p>
            <w:pPr>
              <w:pStyle w:val="19"/>
              <w:rPr>
                <w:rFonts w:hint="default" w:eastAsia="方正书宋_GBK"/>
                <w:lang w:val="en-US" w:eastAsia="zh-CN"/>
              </w:rPr>
            </w:pPr>
            <w:r>
              <w:rPr>
                <w:rFonts w:hint="eastAsia"/>
                <w:lang w:val="en-US" w:eastAsia="zh-CN"/>
              </w:rPr>
              <w:t>896.38</w:t>
            </w:r>
          </w:p>
        </w:tc>
        <w:tc>
          <w:tcPr>
            <w:tcW w:w="4535" w:type="dxa"/>
            <w:vAlign w:val="center"/>
          </w:tcPr>
          <w:p>
            <w:pPr>
              <w:pStyle w:val="20"/>
            </w:pPr>
            <w:r>
              <w:t>一、一般公共服务支出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r>
              <w:rPr>
                <w:rFonts w:hint="eastAsia"/>
              </w:rPr>
              <w:t>824.41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rPr>
                <w:rFonts w:hint="default" w:eastAsia="方正书宋_GBK"/>
                <w:lang w:val="en-US" w:eastAsia="zh-CN"/>
              </w:rPr>
            </w:pPr>
            <w:r>
              <w:rPr>
                <w:rFonts w:hint="eastAsia"/>
                <w:lang w:val="en-US" w:eastAsia="zh-CN"/>
              </w:rPr>
              <w:t>37.52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rPr>
                <w:rFonts w:hint="eastAsia"/>
              </w:rPr>
              <w:t>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rPr>
                <w:rFonts w:hint="eastAsia"/>
              </w:rPr>
              <w:t>21.13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t>2</w:t>
            </w:r>
            <w:r>
              <w:rPr>
                <w:rFonts w:hint="eastAsia"/>
                <w:lang w:eastAsia="zh-CN"/>
              </w:rPr>
              <w:t>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31</w:t>
            </w:r>
          </w:p>
        </w:tc>
        <w:tc>
          <w:tcPr>
            <w:tcW w:w="4535" w:type="dxa"/>
            <w:vAlign w:val="center"/>
          </w:tcPr>
          <w:p>
            <w:pPr>
              <w:pStyle w:val="22"/>
            </w:pPr>
            <w:r>
              <w:t>本年收入合计</w:t>
            </w:r>
          </w:p>
        </w:tc>
        <w:tc>
          <w:tcPr>
            <w:tcW w:w="2126" w:type="dxa"/>
            <w:vAlign w:val="center"/>
          </w:tcPr>
          <w:p>
            <w:pPr>
              <w:pStyle w:val="23"/>
            </w:pPr>
            <w:r>
              <w:rPr>
                <w:rFonts w:hint="eastAsia"/>
                <w:lang w:val="en-US" w:eastAsia="zh-CN"/>
              </w:rPr>
              <w:t>896.38</w:t>
            </w:r>
          </w:p>
        </w:tc>
        <w:tc>
          <w:tcPr>
            <w:tcW w:w="4535" w:type="dxa"/>
            <w:vAlign w:val="center"/>
          </w:tcPr>
          <w:p>
            <w:pPr>
              <w:pStyle w:val="22"/>
            </w:pPr>
            <w:r>
              <w:t>本年支出合计</w:t>
            </w:r>
          </w:p>
        </w:tc>
        <w:tc>
          <w:tcPr>
            <w:tcW w:w="2126" w:type="dxa"/>
            <w:vAlign w:val="center"/>
          </w:tcPr>
          <w:p>
            <w:pPr>
              <w:pStyle w:val="23"/>
            </w:pPr>
            <w:r>
              <w:rPr>
                <w:rFonts w:hint="eastAsia"/>
                <w:lang w:val="en-US" w:eastAsia="zh-CN"/>
              </w:rPr>
              <w:t>896.38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33</w:t>
            </w:r>
          </w:p>
        </w:tc>
        <w:tc>
          <w:tcPr>
            <w:tcW w:w="4535" w:type="dxa"/>
            <w:vAlign w:val="center"/>
          </w:tcPr>
          <w:p>
            <w:pPr>
              <w:pStyle w:val="22"/>
            </w:pPr>
            <w:r>
              <w:t>收入总计</w:t>
            </w:r>
          </w:p>
        </w:tc>
        <w:tc>
          <w:tcPr>
            <w:tcW w:w="2126" w:type="dxa"/>
            <w:vAlign w:val="center"/>
          </w:tcPr>
          <w:p>
            <w:pPr>
              <w:pStyle w:val="23"/>
            </w:pPr>
            <w:r>
              <w:rPr>
                <w:rFonts w:hint="eastAsia"/>
                <w:lang w:val="en-US" w:eastAsia="zh-CN"/>
              </w:rPr>
              <w:t>896.38</w:t>
            </w:r>
          </w:p>
        </w:tc>
        <w:tc>
          <w:tcPr>
            <w:tcW w:w="4535" w:type="dxa"/>
            <w:vAlign w:val="center"/>
          </w:tcPr>
          <w:p>
            <w:pPr>
              <w:pStyle w:val="22"/>
            </w:pPr>
            <w:r>
              <w:t>支出总计</w:t>
            </w:r>
          </w:p>
        </w:tc>
        <w:tc>
          <w:tcPr>
            <w:tcW w:w="2126" w:type="dxa"/>
            <w:vAlign w:val="center"/>
          </w:tcPr>
          <w:p>
            <w:pPr>
              <w:pStyle w:val="23"/>
            </w:pPr>
            <w:r>
              <w:rPr>
                <w:rFonts w:hint="eastAsia"/>
                <w:lang w:val="en-US" w:eastAsia="zh-CN"/>
              </w:rPr>
              <w:t>896.38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7"/>
            </w:pPr>
            <w:r>
              <w:rPr>
                <w:rFonts w:hint="eastAsia"/>
              </w:rPr>
              <w:t>[357001]宽城满族自治县旅游和文化广电局本级</w:t>
            </w:r>
          </w:p>
        </w:tc>
        <w:tc>
          <w:tcPr>
            <w:tcW w:w="3402" w:type="dxa"/>
            <w:gridSpan w:val="3"/>
            <w:tcBorders>
              <w:top w:val="single" w:color="FFFFFF" w:sz="6" w:space="0"/>
              <w:left w:val="single" w:color="FFFFFF" w:sz="6" w:space="0"/>
              <w:right w:val="single" w:color="FFFFFF" w:sz="6" w:space="0"/>
            </w:tcBorders>
            <w:vAlign w:val="center"/>
          </w:tcPr>
          <w:p>
            <w:pPr>
              <w:pStyle w:val="1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2" w:type="dxa"/>
            <w:gridSpan w:val="8"/>
            <w:vAlign w:val="center"/>
          </w:tcPr>
          <w:p>
            <w:pPr>
              <w:pStyle w:val="18"/>
            </w:pPr>
            <w:r>
              <w:t>本年收入</w:t>
            </w:r>
          </w:p>
        </w:tc>
        <w:tc>
          <w:tcPr>
            <w:tcW w:w="1134"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val="continu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1</w:t>
            </w:r>
          </w:p>
        </w:tc>
        <w:tc>
          <w:tcPr>
            <w:tcW w:w="992" w:type="dxa"/>
            <w:vAlign w:val="center"/>
          </w:tcPr>
          <w:p>
            <w:pPr>
              <w:pStyle w:val="24"/>
            </w:pPr>
          </w:p>
        </w:tc>
        <w:tc>
          <w:tcPr>
            <w:tcW w:w="1559" w:type="dxa"/>
            <w:vAlign w:val="center"/>
          </w:tcPr>
          <w:p>
            <w:pPr>
              <w:pStyle w:val="22"/>
            </w:pPr>
            <w:r>
              <w:t>合计</w:t>
            </w:r>
          </w:p>
        </w:tc>
        <w:tc>
          <w:tcPr>
            <w:tcW w:w="1134" w:type="dxa"/>
            <w:vAlign w:val="top"/>
          </w:tcPr>
          <w:p>
            <w:pPr>
              <w:keepNext w:val="0"/>
              <w:keepLines w:val="0"/>
              <w:widowControl/>
              <w:suppressLineNumbers w:val="0"/>
              <w:jc w:val="right"/>
              <w:textAlignment w:val="top"/>
              <w:rPr>
                <w:rFonts w:hint="default" w:ascii="宋体" w:hAnsi="宋体" w:eastAsia="宋体" w:cs="宋体"/>
                <w:b/>
                <w:bCs/>
                <w:lang w:val="en-US"/>
              </w:rPr>
            </w:pPr>
            <w:r>
              <w:rPr>
                <w:rFonts w:hint="eastAsia" w:ascii="宋体" w:hAnsi="宋体" w:eastAsia="宋体" w:cs="宋体"/>
                <w:b/>
                <w:bCs/>
                <w:i w:val="0"/>
                <w:iCs w:val="0"/>
                <w:color w:val="000000"/>
                <w:kern w:val="0"/>
                <w:sz w:val="22"/>
                <w:szCs w:val="22"/>
                <w:u w:val="none"/>
                <w:lang w:val="en-US" w:eastAsia="zh-CN" w:bidi="ar"/>
              </w:rPr>
              <w:t>896.38</w:t>
            </w:r>
          </w:p>
        </w:tc>
        <w:tc>
          <w:tcPr>
            <w:tcW w:w="1134" w:type="dxa"/>
            <w:vAlign w:val="top"/>
          </w:tcPr>
          <w:p>
            <w:pPr>
              <w:keepNext w:val="0"/>
              <w:keepLines w:val="0"/>
              <w:widowControl/>
              <w:suppressLineNumbers w:val="0"/>
              <w:jc w:val="right"/>
              <w:textAlignment w:val="top"/>
              <w:rPr>
                <w:rFonts w:hint="eastAsia" w:ascii="宋体" w:hAnsi="宋体" w:eastAsia="宋体" w:cs="宋体"/>
                <w:b/>
                <w:bCs/>
              </w:rPr>
            </w:pPr>
            <w:r>
              <w:rPr>
                <w:rFonts w:hint="eastAsia" w:ascii="宋体" w:hAnsi="宋体" w:eastAsia="宋体" w:cs="宋体"/>
                <w:b/>
                <w:bCs/>
                <w:i w:val="0"/>
                <w:iCs w:val="0"/>
                <w:color w:val="000000"/>
                <w:kern w:val="0"/>
                <w:sz w:val="22"/>
                <w:szCs w:val="22"/>
                <w:u w:val="none"/>
                <w:lang w:val="en-US" w:eastAsia="zh-CN" w:bidi="ar"/>
              </w:rPr>
              <w:t>896.38</w:t>
            </w:r>
          </w:p>
        </w:tc>
        <w:tc>
          <w:tcPr>
            <w:tcW w:w="1134" w:type="dxa"/>
            <w:vAlign w:val="top"/>
          </w:tcPr>
          <w:p>
            <w:pPr>
              <w:keepNext w:val="0"/>
              <w:keepLines w:val="0"/>
              <w:widowControl/>
              <w:suppressLineNumbers w:val="0"/>
              <w:jc w:val="right"/>
              <w:textAlignment w:val="top"/>
              <w:rPr>
                <w:rFonts w:hint="eastAsia" w:ascii="宋体" w:hAnsi="宋体" w:eastAsia="宋体" w:cs="宋体"/>
                <w:b/>
                <w:bCs/>
              </w:rPr>
            </w:pPr>
            <w:r>
              <w:rPr>
                <w:rFonts w:hint="eastAsia" w:ascii="宋体" w:hAnsi="宋体" w:eastAsia="宋体" w:cs="宋体"/>
                <w:b/>
                <w:bCs/>
                <w:i w:val="0"/>
                <w:iCs w:val="0"/>
                <w:color w:val="000000"/>
                <w:kern w:val="0"/>
                <w:sz w:val="22"/>
                <w:szCs w:val="22"/>
                <w:u w:val="none"/>
                <w:lang w:val="en-US" w:eastAsia="zh-CN" w:bidi="ar"/>
              </w:rPr>
              <w:t>896.38</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2</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文化旅游体育与传媒支出</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824.41</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824.41</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824.41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3</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文化和旅游</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213.96</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213.96</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213.96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4</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2070101</w:t>
            </w:r>
          </w:p>
        </w:tc>
        <w:tc>
          <w:tcPr>
            <w:tcW w:w="1559"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行政运行</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213.96</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213.96</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213.96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5</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20799</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其他文化旅游体育与传媒支出</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610.45</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610.45</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610.45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6</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2079999</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其他文化旅游体育与传媒支出</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610.45</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610.45</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610.45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7</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134"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37.52</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37.52</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37.52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8</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34"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35.57</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35.57</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35.57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9</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行政单位离退休</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7.40</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7.40</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7.40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10</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34"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28.17</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42.26</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42.26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11</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20808</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抚恤</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1134" w:type="dxa"/>
            <w:vAlign w:val="center"/>
          </w:tcPr>
          <w:p>
            <w:pPr>
              <w:pStyle w:val="19"/>
            </w:pPr>
          </w:p>
        </w:tc>
        <w:tc>
          <w:tcPr>
            <w:tcW w:w="1134" w:type="dxa"/>
            <w:vAlign w:val="center"/>
          </w:tcPr>
          <w:p>
            <w:pPr>
              <w:pStyle w:val="19"/>
            </w:pPr>
            <w:r>
              <w:t>52.39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12</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2080802</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伤残抚恤</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13</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14</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15</w:t>
            </w:r>
          </w:p>
        </w:tc>
        <w:tc>
          <w:tcPr>
            <w:tcW w:w="992" w:type="dxa"/>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11.54</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11.54</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11.54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16</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2101103</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17</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221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18</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22102</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19</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2210201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eastAsia="zh-CN"/>
              </w:rPr>
            </w:pPr>
            <w:r>
              <w:rPr>
                <w:rFonts w:hint="eastAsia"/>
                <w:lang w:eastAsia="zh-CN"/>
              </w:rPr>
              <w:t>20</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2101103</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w:t>
            </w:r>
          </w:p>
        </w:tc>
        <w:tc>
          <w:tcPr>
            <w:tcW w:w="113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pPr>
            <w:r>
              <w:rPr>
                <w:rFonts w:hint="eastAsia"/>
              </w:rPr>
              <w:t>[357001]宽城满族自治县旅游和文化广电局本级</w:t>
            </w:r>
          </w:p>
        </w:tc>
        <w:tc>
          <w:tcPr>
            <w:tcW w:w="2722" w:type="dxa"/>
            <w:gridSpan w:val="2"/>
            <w:tcBorders>
              <w:top w:val="single" w:color="FFFFFF" w:sz="6" w:space="0"/>
              <w:left w:val="single" w:color="FFFFFF" w:sz="6" w:space="0"/>
              <w:right w:val="single" w:color="FFFFFF" w:sz="6" w:space="0"/>
            </w:tcBorders>
            <w:vAlign w:val="center"/>
          </w:tcPr>
          <w:p>
            <w:pPr>
              <w:pStyle w:val="1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8"/>
            </w:pPr>
            <w:r>
              <w:t>科目    编码</w:t>
            </w:r>
          </w:p>
        </w:tc>
        <w:tc>
          <w:tcPr>
            <w:tcW w:w="4536" w:type="dxa"/>
            <w:vAlign w:val="center"/>
          </w:tcPr>
          <w:p>
            <w:pPr>
              <w:pStyle w:val="1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992" w:type="dxa"/>
            <w:vAlign w:val="center"/>
          </w:tcPr>
          <w:p>
            <w:pPr>
              <w:pStyle w:val="18"/>
            </w:pPr>
            <w:r>
              <w:t>1</w:t>
            </w:r>
          </w:p>
        </w:tc>
        <w:tc>
          <w:tcPr>
            <w:tcW w:w="4536"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992" w:type="dxa"/>
            <w:vAlign w:val="center"/>
          </w:tcPr>
          <w:p>
            <w:pPr>
              <w:pStyle w:val="24"/>
            </w:pPr>
          </w:p>
        </w:tc>
        <w:tc>
          <w:tcPr>
            <w:tcW w:w="4536" w:type="dxa"/>
            <w:vAlign w:val="center"/>
          </w:tcPr>
          <w:p>
            <w:pPr>
              <w:pStyle w:val="22"/>
            </w:pPr>
            <w:r>
              <w:t>合计</w:t>
            </w:r>
          </w:p>
        </w:tc>
        <w:tc>
          <w:tcPr>
            <w:tcW w:w="1361"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2"/>
                <w:szCs w:val="22"/>
                <w:u w:val="none"/>
                <w:lang w:val="en-US" w:eastAsia="zh-CN" w:bidi="ar"/>
              </w:rPr>
              <w:t>896.38</w:t>
            </w:r>
          </w:p>
        </w:tc>
        <w:tc>
          <w:tcPr>
            <w:tcW w:w="136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285.93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610.45</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207</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文化旅游体育与传媒支出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824.41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213.96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610.45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20701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文化和旅游</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213.96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213.96</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2070101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213.96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213.96</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20799</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其他文化旅游体育与传媒支出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610.45</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610.45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2079999</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其他文化旅游体育与传媒支出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610.45</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610.45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37.52</w:t>
            </w:r>
          </w:p>
        </w:tc>
        <w:tc>
          <w:tcPr>
            <w:tcW w:w="136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37.52</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20805</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35.57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35.57</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2080501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行政单位离退休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7.40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7.40</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2080505</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28.17</w:t>
            </w:r>
          </w:p>
        </w:tc>
        <w:tc>
          <w:tcPr>
            <w:tcW w:w="1361" w:type="dxa"/>
            <w:vAlign w:val="top"/>
          </w:tcPr>
          <w:p>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28.17</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20808</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抚恤</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1.95</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2080802</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伤残抚恤</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1.95</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210</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13.32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13.32</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21011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13.32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13.32</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2101101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11.54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11.54</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2101103</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1.78</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1.78</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221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21.13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21.13</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22102</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21.13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21.13</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992"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2210201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21.13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21.13</w:t>
            </w:r>
          </w:p>
        </w:tc>
        <w:tc>
          <w:tcPr>
            <w:tcW w:w="1361" w:type="dxa"/>
            <w:vAlign w:val="top"/>
          </w:tcPr>
          <w:p>
            <w:pPr>
              <w:jc w:val="right"/>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pPr>
            <w:r>
              <w:rPr>
                <w:rFonts w:hint="eastAsia"/>
              </w:rPr>
              <w:t>[357001]宽城满族自治县旅游和文化广电局本级</w:t>
            </w:r>
          </w:p>
        </w:tc>
        <w:tc>
          <w:tcPr>
            <w:tcW w:w="3402" w:type="dxa"/>
            <w:tcBorders>
              <w:top w:val="single" w:color="FFFFFF" w:sz="6" w:space="0"/>
              <w:left w:val="single" w:color="FFFFFF" w:sz="6" w:space="0"/>
              <w:right w:val="single" w:color="FFFFFF" w:sz="6" w:space="0"/>
            </w:tcBorders>
            <w:vAlign w:val="center"/>
          </w:tcPr>
          <w:p>
            <w:pPr>
              <w:pStyle w:val="1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rPr>
                <w:rFonts w:hint="eastAsia" w:ascii="宋体" w:hAnsi="宋体" w:eastAsia="宋体" w:cs="宋体"/>
                <w:b/>
                <w:bCs/>
                <w:i w:val="0"/>
                <w:iCs w:val="0"/>
                <w:color w:val="000000"/>
                <w:kern w:val="0"/>
                <w:sz w:val="22"/>
                <w:szCs w:val="22"/>
                <w:u w:val="none"/>
                <w:lang w:val="en-US" w:eastAsia="zh-CN" w:bidi="ar"/>
              </w:rPr>
              <w:t>896.38</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824.41</w:t>
            </w:r>
          </w:p>
        </w:tc>
        <w:tc>
          <w:tcPr>
            <w:tcW w:w="147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824.41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37.52</w:t>
            </w:r>
          </w:p>
        </w:tc>
        <w:tc>
          <w:tcPr>
            <w:tcW w:w="1474"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37.52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top"/>
          </w:tcPr>
          <w:p>
            <w:pPr>
              <w:jc w:val="right"/>
              <w:rPr>
                <w:rFonts w:hint="eastAsia" w:ascii="宋体" w:hAnsi="宋体" w:eastAsia="宋体" w:cs="宋体"/>
              </w:rPr>
            </w:pPr>
          </w:p>
        </w:tc>
        <w:tc>
          <w:tcPr>
            <w:tcW w:w="1474" w:type="dxa"/>
            <w:vAlign w:val="top"/>
          </w:tcPr>
          <w:p>
            <w:pPr>
              <w:jc w:val="right"/>
              <w:rPr>
                <w:rFonts w:hint="eastAsia" w:ascii="宋体" w:hAnsi="宋体" w:eastAsia="宋体" w:cs="宋体"/>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1474"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rPr>
                <w:rFonts w:hint="eastAsia" w:ascii="宋体" w:hAnsi="宋体" w:eastAsia="宋体" w:cs="宋体"/>
                <w:b w:val="0"/>
                <w:bCs w:val="0"/>
              </w:rPr>
            </w:pPr>
            <w:r>
              <w:rPr>
                <w:rFonts w:hint="eastAsia" w:ascii="宋体" w:hAnsi="宋体" w:eastAsia="宋体" w:cs="宋体"/>
                <w:b w:val="0"/>
                <w:bCs w:val="0"/>
              </w:rPr>
              <w:t>21.13</w:t>
            </w:r>
          </w:p>
        </w:tc>
        <w:tc>
          <w:tcPr>
            <w:tcW w:w="1474" w:type="dxa"/>
            <w:vAlign w:val="center"/>
          </w:tcPr>
          <w:p>
            <w:pPr>
              <w:rPr>
                <w:rFonts w:hint="eastAsia" w:ascii="宋体" w:hAnsi="宋体" w:eastAsia="宋体" w:cs="宋体"/>
                <w:b w:val="0"/>
                <w:bCs w:val="0"/>
              </w:rPr>
            </w:pPr>
            <w:r>
              <w:rPr>
                <w:rFonts w:hint="eastAsia" w:ascii="宋体" w:hAnsi="宋体" w:eastAsia="宋体" w:cs="宋体"/>
                <w:b w:val="0"/>
                <w:bCs w:val="0"/>
              </w:rPr>
              <w:t>21.13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rPr>
                <w:rFonts w:hint="eastAsia" w:ascii="宋体" w:hAnsi="宋体" w:eastAsia="宋体" w:cs="宋体"/>
                <w:b/>
                <w:bCs/>
                <w:i w:val="0"/>
                <w:iCs w:val="0"/>
                <w:color w:val="000000"/>
                <w:kern w:val="0"/>
                <w:sz w:val="22"/>
                <w:szCs w:val="22"/>
                <w:u w:val="none"/>
                <w:lang w:val="en-US" w:eastAsia="zh-CN" w:bidi="ar"/>
              </w:rPr>
              <w:t>896.38</w:t>
            </w:r>
          </w:p>
        </w:tc>
        <w:tc>
          <w:tcPr>
            <w:tcW w:w="3402" w:type="dxa"/>
            <w:vAlign w:val="center"/>
          </w:tcPr>
          <w:p>
            <w:pPr>
              <w:pStyle w:val="22"/>
            </w:pPr>
            <w:r>
              <w:t>本年支出合计</w:t>
            </w:r>
          </w:p>
        </w:tc>
        <w:tc>
          <w:tcPr>
            <w:tcW w:w="1474" w:type="dxa"/>
            <w:vAlign w:val="center"/>
          </w:tcPr>
          <w:p>
            <w:r>
              <w:rPr>
                <w:rFonts w:hint="eastAsia" w:ascii="宋体" w:hAnsi="宋体" w:eastAsia="宋体" w:cs="宋体"/>
                <w:b/>
                <w:bCs/>
                <w:i w:val="0"/>
                <w:iCs w:val="0"/>
                <w:color w:val="000000"/>
                <w:kern w:val="0"/>
                <w:sz w:val="22"/>
                <w:szCs w:val="22"/>
                <w:u w:val="none"/>
                <w:lang w:val="en-US" w:eastAsia="zh-CN" w:bidi="ar"/>
              </w:rPr>
              <w:t>896.38</w:t>
            </w:r>
          </w:p>
        </w:tc>
        <w:tc>
          <w:tcPr>
            <w:tcW w:w="1474" w:type="dxa"/>
            <w:vAlign w:val="center"/>
          </w:tcPr>
          <w:p>
            <w:r>
              <w:rPr>
                <w:rFonts w:hint="eastAsia" w:ascii="宋体" w:hAnsi="宋体" w:eastAsia="宋体" w:cs="宋体"/>
                <w:b/>
                <w:bCs/>
                <w:i w:val="0"/>
                <w:iCs w:val="0"/>
                <w:color w:val="000000"/>
                <w:kern w:val="0"/>
                <w:sz w:val="22"/>
                <w:szCs w:val="22"/>
                <w:u w:val="none"/>
                <w:lang w:val="en-US" w:eastAsia="zh-CN" w:bidi="ar"/>
              </w:rPr>
              <w:t>896.38</w:t>
            </w:r>
          </w:p>
        </w:tc>
        <w:tc>
          <w:tcPr>
            <w:tcW w:w="1474" w:type="dxa"/>
            <w:vAlign w:val="center"/>
          </w:tcPr>
          <w:p>
            <w:pPr>
              <w:pStyle w:val="23"/>
            </w:pPr>
          </w:p>
        </w:tc>
        <w:tc>
          <w:tcPr>
            <w:tcW w:w="147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rPr>
                <w:rFonts w:hint="eastAsia" w:ascii="宋体" w:hAnsi="宋体" w:eastAsia="宋体" w:cs="宋体"/>
                <w:b/>
                <w:bCs/>
                <w:i w:val="0"/>
                <w:iCs w:val="0"/>
                <w:color w:val="000000"/>
                <w:kern w:val="0"/>
                <w:sz w:val="22"/>
                <w:szCs w:val="22"/>
                <w:u w:val="none"/>
                <w:lang w:val="en-US" w:eastAsia="zh-CN" w:bidi="ar"/>
              </w:rPr>
              <w:t>896.38</w:t>
            </w:r>
          </w:p>
        </w:tc>
        <w:tc>
          <w:tcPr>
            <w:tcW w:w="3402" w:type="dxa"/>
            <w:vAlign w:val="center"/>
          </w:tcPr>
          <w:p>
            <w:pPr>
              <w:pStyle w:val="22"/>
            </w:pPr>
            <w:r>
              <w:t>支出总计</w:t>
            </w:r>
          </w:p>
        </w:tc>
        <w:tc>
          <w:tcPr>
            <w:tcW w:w="1474" w:type="dxa"/>
            <w:vAlign w:val="center"/>
          </w:tcPr>
          <w:p>
            <w:r>
              <w:rPr>
                <w:rFonts w:hint="eastAsia" w:ascii="宋体" w:hAnsi="宋体" w:eastAsia="宋体" w:cs="宋体"/>
                <w:b/>
                <w:bCs/>
                <w:i w:val="0"/>
                <w:iCs w:val="0"/>
                <w:color w:val="000000"/>
                <w:kern w:val="0"/>
                <w:sz w:val="22"/>
                <w:szCs w:val="22"/>
                <w:u w:val="none"/>
                <w:lang w:val="en-US" w:eastAsia="zh-CN" w:bidi="ar"/>
              </w:rPr>
              <w:t>896.38</w:t>
            </w:r>
          </w:p>
        </w:tc>
        <w:tc>
          <w:tcPr>
            <w:tcW w:w="1474" w:type="dxa"/>
            <w:vAlign w:val="center"/>
          </w:tcPr>
          <w:p>
            <w:r>
              <w:rPr>
                <w:rFonts w:hint="eastAsia" w:ascii="宋体" w:hAnsi="宋体" w:eastAsia="宋体" w:cs="宋体"/>
                <w:b/>
                <w:bCs/>
                <w:i w:val="0"/>
                <w:iCs w:val="0"/>
                <w:color w:val="000000"/>
                <w:kern w:val="0"/>
                <w:sz w:val="22"/>
                <w:szCs w:val="22"/>
                <w:u w:val="none"/>
                <w:lang w:val="en-US" w:eastAsia="zh-CN" w:bidi="ar"/>
              </w:rPr>
              <w:t>896.38</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rPr>
                <w:rFonts w:hint="eastAsia"/>
              </w:rPr>
              <w:t>[357001]宽城满族自治县旅游和文化广电局本级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top"/>
          </w:tcPr>
          <w:p>
            <w:pPr>
              <w:jc w:val="left"/>
              <w:rPr>
                <w:rFonts w:hint="eastAsia" w:ascii="宋体" w:hAnsi="宋体" w:eastAsia="宋体" w:cs="宋体"/>
              </w:rPr>
            </w:pP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896.38</w:t>
            </w:r>
          </w:p>
        </w:tc>
        <w:tc>
          <w:tcPr>
            <w:tcW w:w="2551"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285.93</w:t>
            </w:r>
          </w:p>
        </w:tc>
        <w:tc>
          <w:tcPr>
            <w:tcW w:w="2551"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610.45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207</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824.41</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213.96</w:t>
            </w:r>
          </w:p>
        </w:tc>
        <w:tc>
          <w:tcPr>
            <w:tcW w:w="2551" w:type="dxa"/>
            <w:vAlign w:val="top"/>
          </w:tcPr>
          <w:p>
            <w:pPr>
              <w:keepNext w:val="0"/>
              <w:keepLines w:val="0"/>
              <w:widowControl/>
              <w:suppressLineNumbers w:val="0"/>
              <w:jc w:val="right"/>
              <w:textAlignment w:val="top"/>
              <w:rPr>
                <w:rFonts w:hint="eastAsia" w:ascii="宋体" w:hAnsi="宋体" w:eastAsia="宋体" w:cs="宋体"/>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610.45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20701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文化和旅游</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213.96</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213.96</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2070101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行政运行</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213.96</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213.96</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20799</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610.45</w:t>
            </w:r>
          </w:p>
        </w:tc>
        <w:tc>
          <w:tcPr>
            <w:tcW w:w="2551" w:type="dxa"/>
            <w:vAlign w:val="top"/>
          </w:tcPr>
          <w:p>
            <w:pPr>
              <w:jc w:val="right"/>
              <w:rPr>
                <w:rFonts w:hint="eastAsia" w:ascii="宋体" w:hAnsi="宋体" w:eastAsia="宋体" w:cs="宋体"/>
              </w:rPr>
            </w:pPr>
          </w:p>
        </w:tc>
        <w:tc>
          <w:tcPr>
            <w:tcW w:w="2551" w:type="dxa"/>
            <w:vAlign w:val="top"/>
          </w:tcPr>
          <w:p>
            <w:pPr>
              <w:jc w:val="right"/>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610.45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2079999</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610.45</w:t>
            </w:r>
          </w:p>
        </w:tc>
        <w:tc>
          <w:tcPr>
            <w:tcW w:w="2551" w:type="dxa"/>
            <w:vAlign w:val="top"/>
          </w:tcPr>
          <w:p>
            <w:pPr>
              <w:jc w:val="right"/>
              <w:rPr>
                <w:rFonts w:hint="eastAsia" w:ascii="宋体" w:hAnsi="宋体" w:eastAsia="宋体" w:cs="宋体"/>
              </w:rPr>
            </w:pPr>
          </w:p>
        </w:tc>
        <w:tc>
          <w:tcPr>
            <w:tcW w:w="2551" w:type="dxa"/>
            <w:vAlign w:val="top"/>
          </w:tcPr>
          <w:p>
            <w:pPr>
              <w:jc w:val="right"/>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610.45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37.52</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37.52</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35.57</w:t>
            </w:r>
          </w:p>
        </w:tc>
        <w:tc>
          <w:tcPr>
            <w:tcW w:w="2551"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35.57</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2080501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行政单位离退休</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7.40</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7.40</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28.17</w:t>
            </w:r>
          </w:p>
        </w:tc>
        <w:tc>
          <w:tcPr>
            <w:tcW w:w="2551"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28.17</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20808</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抚恤</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2080802</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伤残抚恤</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卫生健康支出</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行政事业单位医疗</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13.32</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2101101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行政单位医疗</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11.54</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11.54</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2101103</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公务员医疗补助</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221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住房保障支出</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22102</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住房改革支出</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2210201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2551" w:type="dxa"/>
            <w:vAlign w:val="top"/>
          </w:tcPr>
          <w:p>
            <w:pPr>
              <w:keepNext w:val="0"/>
              <w:keepLines w:val="0"/>
              <w:widowControl/>
              <w:suppressLineNumbers w:val="0"/>
              <w:jc w:val="right"/>
              <w:textAlignment w:val="top"/>
              <w:rPr>
                <w:rFonts w:hint="eastAsia" w:ascii="宋体" w:hAnsi="宋体" w:eastAsia="宋体" w:cs="宋体"/>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rPr>
                <w:rFonts w:hint="eastAsia"/>
              </w:rPr>
              <w:t>[357001]宽城满族自治县旅游和文化广电局本级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2" w:type="dxa"/>
            <w:vAlign w:val="center"/>
          </w:tcPr>
          <w:p>
            <w:pPr>
              <w:pStyle w:val="1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2"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1"/>
            </w:pPr>
            <w:r>
              <w:t>1</w:t>
            </w:r>
          </w:p>
        </w:tc>
        <w:tc>
          <w:tcPr>
            <w:tcW w:w="1191" w:type="dxa"/>
            <w:vAlign w:val="top"/>
          </w:tcPr>
          <w:p>
            <w:pPr>
              <w:jc w:val="left"/>
              <w:rPr>
                <w:rFonts w:hint="eastAsia" w:ascii="宋体" w:hAnsi="宋体" w:eastAsia="宋体" w:cs="宋体"/>
              </w:rPr>
            </w:pP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285.93</w:t>
            </w:r>
          </w:p>
        </w:tc>
        <w:tc>
          <w:tcPr>
            <w:tcW w:w="2551"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256.08</w:t>
            </w:r>
          </w:p>
        </w:tc>
        <w:tc>
          <w:tcPr>
            <w:tcW w:w="2552"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工资福利支出</w:t>
            </w:r>
          </w:p>
        </w:tc>
        <w:tc>
          <w:tcPr>
            <w:tcW w:w="2551"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246.73</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246.73</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30101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基本工资</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92.92</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92.92</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30102</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津贴补贴</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50.89</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50.89</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30103</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奖金</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7.75</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7.75</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30107</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绩效工资</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29.71</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29.71</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30108</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28.17</w:t>
            </w:r>
          </w:p>
        </w:tc>
        <w:tc>
          <w:tcPr>
            <w:tcW w:w="2551" w:type="dxa"/>
            <w:vAlign w:val="top"/>
          </w:tcPr>
          <w:p>
            <w:pPr>
              <w:keepNext w:val="0"/>
              <w:keepLines w:val="0"/>
              <w:widowControl/>
              <w:suppressLineNumbers w:val="0"/>
              <w:jc w:val="right"/>
              <w:textAlignment w:val="top"/>
              <w:rPr>
                <w:rFonts w:hint="default"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28.17</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30110</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11.54</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11.54</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30111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30112</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其他社会保障缴费</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2.84</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2.84</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30113</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21.13</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1"/>
            </w:pPr>
            <w:r>
              <w:t>12</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302</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商品和服务支出</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29.85</w:t>
            </w:r>
          </w:p>
        </w:tc>
        <w:tc>
          <w:tcPr>
            <w:tcW w:w="2551" w:type="dxa"/>
            <w:vAlign w:val="top"/>
          </w:tcPr>
          <w:p>
            <w:pPr>
              <w:jc w:val="right"/>
              <w:rPr>
                <w:rFonts w:hint="eastAsia" w:ascii="宋体" w:hAnsi="宋体" w:eastAsia="宋体" w:cs="宋体"/>
              </w:rPr>
            </w:pPr>
          </w:p>
        </w:tc>
        <w:tc>
          <w:tcPr>
            <w:tcW w:w="2552"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1"/>
            </w:pPr>
            <w:r>
              <w:t>13</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30207</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邮电费</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5.94</w:t>
            </w:r>
          </w:p>
        </w:tc>
        <w:tc>
          <w:tcPr>
            <w:tcW w:w="2551" w:type="dxa"/>
            <w:vAlign w:val="top"/>
          </w:tcPr>
          <w:p>
            <w:pPr>
              <w:jc w:val="right"/>
              <w:rPr>
                <w:rFonts w:hint="eastAsia" w:ascii="宋体" w:hAnsi="宋体" w:eastAsia="宋体" w:cs="宋体"/>
              </w:rPr>
            </w:pPr>
          </w:p>
        </w:tc>
        <w:tc>
          <w:tcPr>
            <w:tcW w:w="2552"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30211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差旅费</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1.40</w:t>
            </w:r>
          </w:p>
        </w:tc>
        <w:tc>
          <w:tcPr>
            <w:tcW w:w="2551" w:type="dxa"/>
            <w:vAlign w:val="top"/>
          </w:tcPr>
          <w:p>
            <w:pPr>
              <w:jc w:val="right"/>
              <w:rPr>
                <w:rFonts w:hint="eastAsia" w:ascii="宋体" w:hAnsi="宋体" w:eastAsia="宋体" w:cs="宋体"/>
              </w:rPr>
            </w:pPr>
          </w:p>
        </w:tc>
        <w:tc>
          <w:tcPr>
            <w:tcW w:w="2552"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1"/>
            </w:pPr>
            <w:r>
              <w:t>15</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30217</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公务接待费</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3.20</w:t>
            </w:r>
          </w:p>
        </w:tc>
        <w:tc>
          <w:tcPr>
            <w:tcW w:w="2551" w:type="dxa"/>
            <w:vAlign w:val="top"/>
          </w:tcPr>
          <w:p>
            <w:pPr>
              <w:jc w:val="right"/>
              <w:rPr>
                <w:rFonts w:hint="eastAsia" w:ascii="宋体" w:hAnsi="宋体" w:eastAsia="宋体" w:cs="宋体"/>
              </w:rPr>
            </w:pPr>
          </w:p>
        </w:tc>
        <w:tc>
          <w:tcPr>
            <w:tcW w:w="2552"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30228</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工会经费</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2.02</w:t>
            </w:r>
          </w:p>
        </w:tc>
        <w:tc>
          <w:tcPr>
            <w:tcW w:w="2551" w:type="dxa"/>
            <w:vAlign w:val="top"/>
          </w:tcPr>
          <w:p>
            <w:pPr>
              <w:jc w:val="right"/>
              <w:rPr>
                <w:rFonts w:hint="eastAsia" w:ascii="宋体" w:hAnsi="宋体" w:eastAsia="宋体" w:cs="宋体"/>
              </w:rPr>
            </w:pPr>
          </w:p>
        </w:tc>
        <w:tc>
          <w:tcPr>
            <w:tcW w:w="2552"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30229</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福利费</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2.33</w:t>
            </w:r>
          </w:p>
        </w:tc>
        <w:tc>
          <w:tcPr>
            <w:tcW w:w="2551" w:type="dxa"/>
            <w:vAlign w:val="top"/>
          </w:tcPr>
          <w:p>
            <w:pPr>
              <w:jc w:val="right"/>
              <w:rPr>
                <w:rFonts w:hint="eastAsia" w:ascii="宋体" w:hAnsi="宋体" w:eastAsia="宋体" w:cs="宋体"/>
              </w:rPr>
            </w:pPr>
          </w:p>
        </w:tc>
        <w:tc>
          <w:tcPr>
            <w:tcW w:w="2552"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30231</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3.50</w:t>
            </w:r>
          </w:p>
        </w:tc>
        <w:tc>
          <w:tcPr>
            <w:tcW w:w="2551" w:type="dxa"/>
            <w:vAlign w:val="top"/>
          </w:tcPr>
          <w:p>
            <w:pPr>
              <w:jc w:val="right"/>
              <w:rPr>
                <w:rFonts w:hint="eastAsia" w:ascii="宋体" w:hAnsi="宋体" w:eastAsia="宋体" w:cs="宋体"/>
              </w:rPr>
            </w:pPr>
          </w:p>
        </w:tc>
        <w:tc>
          <w:tcPr>
            <w:tcW w:w="2552"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19</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30239</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其他交通费用</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9.72</w:t>
            </w:r>
          </w:p>
        </w:tc>
        <w:tc>
          <w:tcPr>
            <w:tcW w:w="2551" w:type="dxa"/>
            <w:vAlign w:val="top"/>
          </w:tcPr>
          <w:p>
            <w:pPr>
              <w:jc w:val="right"/>
              <w:rPr>
                <w:rFonts w:hint="eastAsia" w:ascii="宋体" w:hAnsi="宋体" w:eastAsia="宋体" w:cs="宋体"/>
              </w:rPr>
            </w:pPr>
          </w:p>
        </w:tc>
        <w:tc>
          <w:tcPr>
            <w:tcW w:w="2552"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20</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30299</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1.74</w:t>
            </w:r>
          </w:p>
        </w:tc>
        <w:tc>
          <w:tcPr>
            <w:tcW w:w="2551" w:type="dxa"/>
            <w:vAlign w:val="top"/>
          </w:tcPr>
          <w:p>
            <w:pPr>
              <w:jc w:val="right"/>
              <w:rPr>
                <w:rFonts w:hint="eastAsia" w:ascii="宋体" w:hAnsi="宋体" w:eastAsia="宋体" w:cs="宋体"/>
              </w:rPr>
            </w:pPr>
          </w:p>
        </w:tc>
        <w:tc>
          <w:tcPr>
            <w:tcW w:w="2552"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21</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303</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9.35</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9.35</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1"/>
              <w:rPr>
                <w:lang w:eastAsia="zh-CN"/>
              </w:rPr>
            </w:pPr>
            <w:r>
              <w:rPr>
                <w:rFonts w:hint="eastAsia"/>
                <w:lang w:eastAsia="zh-CN"/>
              </w:rPr>
              <w:t>22</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30302</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退休费</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7.40</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7.40</w:t>
            </w:r>
          </w:p>
        </w:tc>
        <w:tc>
          <w:tcPr>
            <w:tcW w:w="2552" w:type="dxa"/>
            <w:vAlign w:val="top"/>
          </w:tcPr>
          <w:p>
            <w:pPr>
              <w:jc w:val="right"/>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23</w:t>
            </w:r>
          </w:p>
        </w:tc>
        <w:tc>
          <w:tcPr>
            <w:tcW w:w="1191"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30305</w:t>
            </w:r>
          </w:p>
        </w:tc>
        <w:tc>
          <w:tcPr>
            <w:tcW w:w="4535" w:type="dxa"/>
            <w:vAlign w:val="top"/>
          </w:tcPr>
          <w:p>
            <w:pPr>
              <w:keepNext w:val="0"/>
              <w:keepLines w:val="0"/>
              <w:widowControl/>
              <w:suppressLineNumbers w:val="0"/>
              <w:jc w:val="lef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生活补助</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2551" w:type="dxa"/>
            <w:vAlign w:val="top"/>
          </w:tcPr>
          <w:p>
            <w:pPr>
              <w:keepNext w:val="0"/>
              <w:keepLines w:val="0"/>
              <w:widowControl/>
              <w:suppressLineNumbers w:val="0"/>
              <w:jc w:val="right"/>
              <w:textAlignment w:val="top"/>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1.95</w:t>
            </w:r>
          </w:p>
        </w:tc>
        <w:tc>
          <w:tcPr>
            <w:tcW w:w="2552" w:type="dxa"/>
            <w:vAlign w:val="top"/>
          </w:tcPr>
          <w:p>
            <w:pPr>
              <w:jc w:val="right"/>
              <w:rPr>
                <w:rFonts w:hint="eastAsia" w:ascii="宋体" w:hAnsi="宋体" w:eastAsia="宋体" w:cs="宋体"/>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rPr>
                <w:rFonts w:hint="eastAsia"/>
              </w:rPr>
              <w:t>[357001]宽城满族自治县旅游和文化广电局本级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rPr>
          <w:rFonts w:ascii="方正书宋_GBK" w:hAnsi="方正书宋_GBK" w:eastAsia="方正书宋_GBK" w:cs="方正书宋_GBK"/>
          <w:color w:val="000000"/>
          <w:sz w:val="24"/>
          <w:szCs w:val="24"/>
        </w:rPr>
      </w:pPr>
    </w:p>
    <w:p>
      <w:pPr>
        <w:ind w:firstLine="420"/>
        <w:rPr>
          <w:sz w:val="28"/>
          <w:szCs w:val="28"/>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8"/>
          <w:szCs w:val="28"/>
        </w:rPr>
        <w:t>注：无政府基金预算财政拨款预算，空表列示。</w:t>
      </w:r>
      <w:bookmarkStart w:id="18" w:name="_GoBack"/>
      <w:bookmarkEnd w:id="18"/>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rPr>
                <w:rFonts w:hint="eastAsia"/>
              </w:rPr>
              <w:t>[357001]宽城满族自治县旅游和文化广电局本级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rPr>
          <w:rFonts w:ascii="方正书宋_GBK" w:hAnsi="方正书宋_GBK" w:eastAsia="方正书宋_GBK" w:cs="方正书宋_GBK"/>
          <w:color w:val="000000"/>
          <w:sz w:val="28"/>
          <w:szCs w:val="28"/>
        </w:rPr>
      </w:pPr>
    </w:p>
    <w:p>
      <w:pPr>
        <w:ind w:firstLine="420"/>
        <w:rPr>
          <w:sz w:val="28"/>
          <w:szCs w:val="28"/>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8"/>
          <w:szCs w:val="28"/>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7"/>
            </w:pPr>
            <w:r>
              <w:rPr>
                <w:rFonts w:hint="eastAsia"/>
              </w:rPr>
              <w:t>[357001]宽城满族自治县旅游和文化广电局本级</w:t>
            </w:r>
          </w:p>
        </w:tc>
        <w:tc>
          <w:tcPr>
            <w:tcW w:w="2381" w:type="dxa"/>
            <w:tcBorders>
              <w:top w:val="single" w:color="FFFFFF" w:sz="6" w:space="0"/>
              <w:left w:val="single" w:color="FFFFFF" w:sz="6" w:space="0"/>
              <w:right w:val="single" w:color="FFFFFF" w:sz="6" w:space="0"/>
            </w:tcBorders>
            <w:vAlign w:val="center"/>
          </w:tcPr>
          <w:p>
            <w:pPr>
              <w:pStyle w:val="1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rPr>
                <w:rFonts w:hint="default" w:eastAsia="方正书宋_GBK"/>
                <w:lang w:val="en-US" w:eastAsia="zh-CN"/>
              </w:rPr>
            </w:pPr>
            <w:r>
              <w:rPr>
                <w:rFonts w:hint="eastAsia"/>
                <w:lang w:val="en-US" w:eastAsia="zh-CN"/>
              </w:rPr>
              <w:t>6.70</w:t>
            </w:r>
          </w:p>
        </w:tc>
        <w:tc>
          <w:tcPr>
            <w:tcW w:w="2381" w:type="dxa"/>
            <w:vAlign w:val="center"/>
          </w:tcPr>
          <w:p>
            <w:pPr>
              <w:pStyle w:val="23"/>
            </w:pPr>
            <w:r>
              <w:rPr>
                <w:rFonts w:hint="eastAsia"/>
                <w:lang w:val="en-US" w:eastAsia="zh-CN"/>
              </w:rPr>
              <w:t>6.70</w:t>
            </w:r>
          </w:p>
        </w:tc>
        <w:tc>
          <w:tcPr>
            <w:tcW w:w="2381" w:type="dxa"/>
            <w:vAlign w:val="center"/>
          </w:tcPr>
          <w:p>
            <w:pPr>
              <w:pStyle w:val="23"/>
            </w:pPr>
          </w:p>
        </w:tc>
        <w:tc>
          <w:tcPr>
            <w:tcW w:w="238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2</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3</w:t>
            </w:r>
          </w:p>
        </w:tc>
        <w:tc>
          <w:tcPr>
            <w:tcW w:w="3798" w:type="dxa"/>
            <w:vAlign w:val="center"/>
          </w:tcPr>
          <w:p>
            <w:pPr>
              <w:pStyle w:val="20"/>
            </w:pPr>
            <w:r>
              <w:t>二、公务用车购置及运维费</w:t>
            </w:r>
          </w:p>
        </w:tc>
        <w:tc>
          <w:tcPr>
            <w:tcW w:w="2381" w:type="dxa"/>
            <w:vAlign w:val="center"/>
          </w:tcPr>
          <w:p>
            <w:pPr>
              <w:pStyle w:val="19"/>
              <w:rPr>
                <w:rFonts w:hint="default" w:eastAsia="方正书宋_GBK"/>
                <w:lang w:val="en-US" w:eastAsia="zh-CN"/>
              </w:rPr>
            </w:pPr>
            <w:r>
              <w:rPr>
                <w:rFonts w:hint="eastAsia"/>
                <w:lang w:val="en-US" w:eastAsia="zh-CN"/>
              </w:rPr>
              <w:t>3.50</w:t>
            </w:r>
          </w:p>
        </w:tc>
        <w:tc>
          <w:tcPr>
            <w:tcW w:w="2381" w:type="dxa"/>
            <w:vAlign w:val="center"/>
          </w:tcPr>
          <w:p>
            <w:pPr>
              <w:pStyle w:val="19"/>
            </w:pPr>
            <w:r>
              <w:rPr>
                <w:rFonts w:hint="eastAsia"/>
                <w:lang w:val="en-US" w:eastAsia="zh-CN"/>
              </w:rPr>
              <w:t>3.50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4</w:t>
            </w:r>
          </w:p>
        </w:tc>
        <w:tc>
          <w:tcPr>
            <w:tcW w:w="3798" w:type="dxa"/>
            <w:vAlign w:val="center"/>
          </w:tcPr>
          <w:p>
            <w:pPr>
              <w:pStyle w:val="20"/>
            </w:pPr>
            <w:r>
              <w:t xml:space="preserve">    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5</w:t>
            </w:r>
          </w:p>
        </w:tc>
        <w:tc>
          <w:tcPr>
            <w:tcW w:w="3798" w:type="dxa"/>
            <w:vAlign w:val="center"/>
          </w:tcPr>
          <w:p>
            <w:pPr>
              <w:pStyle w:val="20"/>
            </w:pPr>
            <w:r>
              <w:t xml:space="preserve">          公务用车运行维护费</w:t>
            </w:r>
          </w:p>
        </w:tc>
        <w:tc>
          <w:tcPr>
            <w:tcW w:w="2381" w:type="dxa"/>
            <w:vAlign w:val="center"/>
          </w:tcPr>
          <w:p>
            <w:pPr>
              <w:pStyle w:val="19"/>
            </w:pPr>
            <w:r>
              <w:rPr>
                <w:rFonts w:hint="eastAsia"/>
                <w:lang w:val="en-US" w:eastAsia="zh-CN"/>
              </w:rPr>
              <w:t>3.50</w:t>
            </w:r>
          </w:p>
        </w:tc>
        <w:tc>
          <w:tcPr>
            <w:tcW w:w="2381" w:type="dxa"/>
            <w:vAlign w:val="center"/>
          </w:tcPr>
          <w:p>
            <w:pPr>
              <w:pStyle w:val="19"/>
            </w:pPr>
            <w:r>
              <w:rPr>
                <w:rFonts w:hint="eastAsia"/>
                <w:lang w:val="en-US" w:eastAsia="zh-CN"/>
              </w:rPr>
              <w:t>3.50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6</w:t>
            </w:r>
          </w:p>
        </w:tc>
        <w:tc>
          <w:tcPr>
            <w:tcW w:w="3798" w:type="dxa"/>
            <w:vAlign w:val="center"/>
          </w:tcPr>
          <w:p>
            <w:pPr>
              <w:pStyle w:val="20"/>
            </w:pPr>
            <w:r>
              <w:t>三、公务接待费</w:t>
            </w:r>
          </w:p>
        </w:tc>
        <w:tc>
          <w:tcPr>
            <w:tcW w:w="2381" w:type="dxa"/>
            <w:vAlign w:val="center"/>
          </w:tcPr>
          <w:p>
            <w:pPr>
              <w:pStyle w:val="19"/>
              <w:rPr>
                <w:rFonts w:hint="default" w:eastAsia="方正书宋_GBK"/>
                <w:lang w:val="en-US" w:eastAsia="zh-CN"/>
              </w:rPr>
            </w:pPr>
            <w:r>
              <w:rPr>
                <w:rFonts w:hint="eastAsia"/>
                <w:lang w:val="en-US" w:eastAsia="zh-CN"/>
              </w:rPr>
              <w:t>3.20</w:t>
            </w:r>
          </w:p>
        </w:tc>
        <w:tc>
          <w:tcPr>
            <w:tcW w:w="2381" w:type="dxa"/>
            <w:vAlign w:val="center"/>
          </w:tcPr>
          <w:p>
            <w:pPr>
              <w:pStyle w:val="19"/>
            </w:pPr>
            <w:r>
              <w:rPr>
                <w:rFonts w:hint="eastAsia"/>
                <w:lang w:val="en-US" w:eastAsia="zh-CN"/>
              </w:rPr>
              <w:t>3.20</w:t>
            </w:r>
          </w:p>
        </w:tc>
        <w:tc>
          <w:tcPr>
            <w:tcW w:w="2381" w:type="dxa"/>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河北省人大常委会办公厅2022年部门预算信息公开情况说明</w:t>
      </w:r>
    </w:p>
    <w:p>
      <w:pPr>
        <w:jc w:val="center"/>
      </w:pPr>
      <w:r>
        <w:rPr>
          <w:rFonts w:hint="eastAsia" w:ascii="方正小标宋_GBK" w:hAnsi="方正小标宋_GBK" w:eastAsia="方正小标宋_GBK" w:cs="方正小标宋_GBK"/>
          <w:color w:val="000000"/>
          <w:sz w:val="44"/>
          <w:lang w:val="en-US" w:eastAsia="zh-CN"/>
        </w:rPr>
        <w:t>宽城满族自治县旅游和文化广电局</w:t>
      </w: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宽城满族自治县旅游和文化广电局</w:t>
      </w:r>
      <w:r>
        <w:rPr>
          <w:rFonts w:eastAsia="方正仿宋_GBK"/>
          <w:color w:val="000000"/>
          <w:sz w:val="28"/>
        </w:rPr>
        <w:t>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eastAsia="方正仿宋_GBK"/>
          <w:color w:val="000000"/>
          <w:sz w:val="28"/>
        </w:rPr>
        <w:t>（一）贯彻执行党、国家和省、市旅游和文化工作方针政策和法律法规。研究拟定全县旅游和文化政策措施，起草全县旅游和文化政府规章草案；贯彻落实党的宣传、创作方针政策，加强广播电视阵地管理，把握正确的舆论导向和创作导向，起草全县广播电视和网络视听节目服务管理的政府规章草案。</w:t>
      </w:r>
    </w:p>
    <w:p>
      <w:pPr>
        <w:spacing w:line="500" w:lineRule="exact"/>
        <w:ind w:firstLine="560"/>
        <w:rPr>
          <w:rFonts w:eastAsia="方正仿宋_GBK"/>
          <w:color w:val="000000"/>
          <w:sz w:val="28"/>
        </w:rPr>
      </w:pPr>
      <w:r>
        <w:rPr>
          <w:rFonts w:hint="eastAsia" w:eastAsia="方正仿宋_GBK"/>
          <w:color w:val="000000"/>
          <w:sz w:val="28"/>
        </w:rPr>
        <w:t>（二）拟定全县旅游、文化、广播电视事业和产业发展规划并组织实施。推进旅游和文化融合发展，推进旅游、文化、广播电视领域体制机制改革，指导全县旅游、文化、广播电视、网络视听行业人才队伍建设。</w:t>
      </w:r>
    </w:p>
    <w:p>
      <w:pPr>
        <w:spacing w:line="500" w:lineRule="exact"/>
        <w:ind w:firstLine="560"/>
        <w:rPr>
          <w:rFonts w:eastAsia="方正仿宋_GBK"/>
          <w:color w:val="000000"/>
          <w:sz w:val="28"/>
        </w:rPr>
      </w:pPr>
      <w:r>
        <w:rPr>
          <w:rFonts w:hint="eastAsia" w:eastAsia="方正仿宋_GBK"/>
          <w:color w:val="000000"/>
          <w:sz w:val="28"/>
        </w:rPr>
        <w:t>（三）管理全县性重大旅游、文化、广播电视活动。指导监管全县旅游、文化、广播电视重点基础设施建设，组织宽城满族自治县旅游整体形象推广，促进旅游产业和文化产业对外合作和市场推广，制定全县旅游市场开发营销战略并组织实施，指导、推进全域旅游。</w:t>
      </w:r>
    </w:p>
    <w:p>
      <w:pPr>
        <w:spacing w:line="500" w:lineRule="exact"/>
        <w:ind w:firstLine="560"/>
        <w:rPr>
          <w:rFonts w:eastAsia="方正仿宋_GBK"/>
          <w:color w:val="000000"/>
          <w:sz w:val="28"/>
        </w:rPr>
      </w:pPr>
      <w:r>
        <w:rPr>
          <w:rFonts w:hint="eastAsia" w:eastAsia="方正仿宋_GBK"/>
          <w:color w:val="000000"/>
          <w:sz w:val="28"/>
        </w:rPr>
        <w:t>（四）指导、管理全县文艺事业。指导艺术创作生产，扶持体现社会主义核心价值观、具有导向性代表性示范性的文艺作品，推动全县各门类艺术、各艺术品种发展。</w:t>
      </w:r>
    </w:p>
    <w:p>
      <w:pPr>
        <w:spacing w:line="500" w:lineRule="exact"/>
        <w:ind w:firstLine="560"/>
        <w:rPr>
          <w:rFonts w:eastAsia="方正仿宋_GBK"/>
          <w:color w:val="000000"/>
          <w:sz w:val="28"/>
        </w:rPr>
      </w:pPr>
      <w:r>
        <w:rPr>
          <w:rFonts w:hint="eastAsia" w:eastAsia="方正仿宋_GBK"/>
          <w:color w:val="000000"/>
          <w:sz w:val="28"/>
        </w:rPr>
        <w:t>（五）负责全县公共文化事业发展。推进全县公共文化服务体系、旅游公共服务体系、广播电视公共服务体系建设，深入实施文化惠民工程，统筹推进全县基本公共文化服务标准化、均等化。组织实施全县广播电视公共服务重大公益工程和公益活动，扶助边贫地区广播电视建设和发展。</w:t>
      </w:r>
    </w:p>
    <w:p>
      <w:pPr>
        <w:spacing w:line="500" w:lineRule="exact"/>
        <w:ind w:firstLine="560"/>
        <w:rPr>
          <w:rFonts w:eastAsia="方正仿宋_GBK"/>
          <w:color w:val="000000"/>
          <w:sz w:val="28"/>
        </w:rPr>
      </w:pPr>
      <w:r>
        <w:rPr>
          <w:rFonts w:hint="eastAsia" w:eastAsia="方正仿宋_GBK"/>
          <w:color w:val="000000"/>
          <w:sz w:val="28"/>
        </w:rPr>
        <w:t>（六）指导、推进全县旅游和文化科技创新发展，推进旅游和文化行业信息化、标准化建设。</w:t>
      </w:r>
    </w:p>
    <w:p>
      <w:pPr>
        <w:spacing w:line="500" w:lineRule="exact"/>
        <w:ind w:firstLine="560"/>
        <w:rPr>
          <w:rFonts w:eastAsia="方正仿宋_GBK"/>
          <w:color w:val="000000"/>
          <w:sz w:val="28"/>
        </w:rPr>
      </w:pPr>
      <w:r>
        <w:rPr>
          <w:rFonts w:hint="eastAsia" w:eastAsia="方正仿宋_GBK"/>
          <w:color w:val="000000"/>
          <w:sz w:val="28"/>
        </w:rPr>
        <w:t>（七）负责全县非物质文化遗产保护，推动非物质文化遗产的保护、传承、普及、弘扬和振兴。</w:t>
      </w:r>
    </w:p>
    <w:p>
      <w:pPr>
        <w:spacing w:line="500" w:lineRule="exact"/>
        <w:ind w:firstLine="560"/>
        <w:rPr>
          <w:rFonts w:eastAsia="方正仿宋_GBK"/>
          <w:color w:val="000000"/>
          <w:sz w:val="28"/>
        </w:rPr>
      </w:pPr>
      <w:r>
        <w:rPr>
          <w:rFonts w:hint="eastAsia" w:eastAsia="方正仿宋_GBK"/>
          <w:color w:val="000000"/>
          <w:sz w:val="28"/>
        </w:rPr>
        <w:t>（八）统筹规划全县旅游、文化、广播电视产业。组织实施旅游和文化资源普查、挖掘、保护和利用工作，促进旅游、文化产业发展；负责旅游、文化产业、广播电视统计工作。</w:t>
      </w:r>
    </w:p>
    <w:p>
      <w:pPr>
        <w:spacing w:line="500" w:lineRule="exact"/>
        <w:ind w:firstLine="560"/>
        <w:rPr>
          <w:rFonts w:eastAsia="方正仿宋_GBK"/>
          <w:color w:val="000000"/>
          <w:sz w:val="28"/>
        </w:rPr>
      </w:pPr>
      <w:r>
        <w:rPr>
          <w:rFonts w:hint="eastAsia" w:eastAsia="方正仿宋_GBK"/>
          <w:color w:val="000000"/>
          <w:sz w:val="28"/>
        </w:rPr>
        <w:t>（九）指导全县旅游、文化、广播电视市场发展。对旅游和文化市场经营进行行业监管，推进全县旅游和文化行业信用体系建设；对全县各类广播电视机构进行业务指导和行业监管，会同有关部门对全县网络视听节目服务机构进行管理，依法规范旅游、文化、广播电视市场。</w:t>
      </w:r>
    </w:p>
    <w:p>
      <w:pPr>
        <w:spacing w:line="500" w:lineRule="exact"/>
        <w:ind w:firstLine="560"/>
        <w:rPr>
          <w:rFonts w:eastAsia="方正仿宋_GBK"/>
          <w:color w:val="000000"/>
          <w:sz w:val="28"/>
        </w:rPr>
      </w:pPr>
      <w:r>
        <w:rPr>
          <w:rFonts w:hint="eastAsia" w:eastAsia="方正仿宋_GBK"/>
          <w:color w:val="000000"/>
          <w:sz w:val="28"/>
        </w:rPr>
        <w:t>（十）指导全县电视剧行业发展和电视剧创作生产，监管全县广播电视节目、网络视听节目和公共视听载体播放的视听节目，审查其内容和质量，指导、监管全县广播电视广告播放。</w:t>
      </w:r>
    </w:p>
    <w:p>
      <w:pPr>
        <w:spacing w:line="500" w:lineRule="exact"/>
        <w:ind w:firstLine="560"/>
        <w:rPr>
          <w:rFonts w:eastAsia="方正仿宋_GBK"/>
          <w:color w:val="000000"/>
          <w:sz w:val="28"/>
        </w:rPr>
      </w:pPr>
      <w:r>
        <w:rPr>
          <w:rFonts w:hint="eastAsia" w:eastAsia="方正仿宋_GBK"/>
          <w:color w:val="000000"/>
          <w:sz w:val="28"/>
        </w:rPr>
        <w:t>（十一）负责推进广播电视与新媒体新技术新业态融合发展，推进广播电视网与电信网、互联网三网融合，促进智慧广播电视发展。</w:t>
      </w:r>
    </w:p>
    <w:p>
      <w:pPr>
        <w:spacing w:line="500" w:lineRule="exact"/>
        <w:ind w:firstLine="560"/>
        <w:rPr>
          <w:rFonts w:eastAsia="方正仿宋_GBK"/>
          <w:color w:val="000000"/>
          <w:sz w:val="28"/>
        </w:rPr>
      </w:pPr>
      <w:r>
        <w:rPr>
          <w:rFonts w:hint="eastAsia" w:eastAsia="方正仿宋_GBK"/>
          <w:color w:val="000000"/>
          <w:sz w:val="28"/>
        </w:rPr>
        <w:t>（十二）负责拟订全县广播电视科技发展规划、政策并组织实施和监督检查。对广播电视节目传输覆盖、监听、监看、监测的监管，推进全县应急广播体系建设，监管协调调度全县广播电视安全播出；承担全县广播电视安全播出指挥部日常工作，指导、协调全县广播电视系统安全和保卫工作。</w:t>
      </w:r>
    </w:p>
    <w:p>
      <w:pPr>
        <w:spacing w:line="500" w:lineRule="exact"/>
        <w:ind w:firstLine="560"/>
        <w:rPr>
          <w:rFonts w:eastAsia="方正仿宋_GBK"/>
          <w:color w:val="000000"/>
          <w:sz w:val="28"/>
        </w:rPr>
      </w:pPr>
      <w:r>
        <w:rPr>
          <w:rFonts w:hint="eastAsia" w:eastAsia="方正仿宋_GBK"/>
          <w:color w:val="000000"/>
          <w:sz w:val="28"/>
        </w:rPr>
        <w:t>（十三）指导全县文化市场综合执法。组织查处全县性、跨区域文化、出版、广播电视、电影、旅游等市场的违法行为，督查督办大案要案，维护市场秩序。</w:t>
      </w:r>
    </w:p>
    <w:p>
      <w:pPr>
        <w:spacing w:line="500" w:lineRule="exact"/>
        <w:ind w:firstLine="560"/>
        <w:rPr>
          <w:rFonts w:eastAsia="方正仿宋_GBK"/>
          <w:color w:val="000000"/>
          <w:sz w:val="28"/>
        </w:rPr>
      </w:pPr>
      <w:r>
        <w:rPr>
          <w:rFonts w:hint="eastAsia" w:eastAsia="方正仿宋_GBK"/>
          <w:color w:val="000000"/>
          <w:sz w:val="28"/>
        </w:rPr>
        <w:t>（十四）指导、管理全县旅游、文化、广播电视领域对外及港澳台交流、合作和宣传、推广工作。代表县政府签订对外旅游和文化合作协定，组织大型旅游和文化对外交流活动，推动中华文化、宽城特色文化、广播电视领域走出去工作。</w:t>
      </w:r>
    </w:p>
    <w:p>
      <w:pPr>
        <w:spacing w:line="500" w:lineRule="exact"/>
        <w:ind w:firstLine="560"/>
        <w:rPr>
          <w:rFonts w:eastAsia="方正仿宋_GBK"/>
          <w:color w:val="000000"/>
          <w:sz w:val="28"/>
        </w:rPr>
      </w:pPr>
      <w:r>
        <w:rPr>
          <w:rFonts w:hint="eastAsia" w:eastAsia="方正仿宋_GBK"/>
          <w:color w:val="000000"/>
          <w:sz w:val="28"/>
        </w:rPr>
        <w:t>（十五）负责全县国家级、省级、市级、县级文物保护单位和其他不可移动文物的保护和管理工作。</w:t>
      </w:r>
    </w:p>
    <w:p>
      <w:pPr>
        <w:spacing w:line="500" w:lineRule="exact"/>
        <w:ind w:firstLine="560"/>
        <w:rPr>
          <w:rFonts w:eastAsia="方正仿宋_GBK"/>
          <w:color w:val="000000"/>
          <w:sz w:val="28"/>
        </w:rPr>
      </w:pPr>
      <w:r>
        <w:rPr>
          <w:rFonts w:hint="eastAsia" w:eastAsia="方正仿宋_GBK"/>
          <w:color w:val="000000"/>
          <w:sz w:val="28"/>
        </w:rPr>
        <w:t>（十六）完成县委、县政府交办的其他任务。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rPr>
                <w:rFonts w:hint="default" w:eastAsia="方正书宋_GBK"/>
                <w:lang w:val="en-US" w:eastAsia="zh-CN"/>
              </w:rPr>
            </w:pPr>
            <w:r>
              <w:rPr>
                <w:rFonts w:hint="eastAsia"/>
                <w:lang w:val="en-US" w:eastAsia="zh-CN"/>
              </w:rPr>
              <w:t>宽城满族自治县旅游和文化广电局本级</w:t>
            </w:r>
          </w:p>
        </w:tc>
        <w:tc>
          <w:tcPr>
            <w:tcW w:w="1843" w:type="dxa"/>
            <w:vAlign w:val="center"/>
          </w:tcPr>
          <w:p>
            <w:pPr>
              <w:pStyle w:val="21"/>
              <w:ind w:firstLine="420" w:firstLineChars="200"/>
              <w:jc w:val="both"/>
              <w:rPr>
                <w:rFonts w:hint="default" w:eastAsia="方正书宋_GBK"/>
                <w:lang w:val="en-US" w:eastAsia="zh-CN"/>
              </w:rPr>
            </w:pPr>
            <w:r>
              <w:rPr>
                <w:rFonts w:hint="eastAsia"/>
                <w:lang w:val="en-US" w:eastAsia="zh-CN"/>
              </w:rPr>
              <w:t>行政</w:t>
            </w:r>
          </w:p>
        </w:tc>
        <w:tc>
          <w:tcPr>
            <w:tcW w:w="2126" w:type="dxa"/>
            <w:vAlign w:val="center"/>
          </w:tcPr>
          <w:p>
            <w:pPr>
              <w:pStyle w:val="21"/>
              <w:jc w:val="center"/>
              <w:rPr>
                <w:rFonts w:hint="eastAsia" w:eastAsia="方正书宋_GBK"/>
                <w:lang w:eastAsia="zh-CN"/>
              </w:rPr>
            </w:pPr>
            <w:r>
              <w:rPr>
                <w:rFonts w:hint="eastAsia"/>
                <w:lang w:val="en-US" w:eastAsia="zh-CN"/>
              </w:rPr>
              <w:t>正科级</w:t>
            </w:r>
          </w:p>
        </w:tc>
        <w:tc>
          <w:tcPr>
            <w:tcW w:w="3827" w:type="dxa"/>
            <w:vAlign w:val="center"/>
          </w:tcPr>
          <w:p>
            <w:pPr>
              <w:pStyle w:val="2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val="en-US" w:eastAsia="zh-CN"/>
        </w:rPr>
        <w:t>宽城满族自治县旅游和文化广电局</w:t>
      </w:r>
      <w:r>
        <w:rPr>
          <w:rFonts w:eastAsia="方正仿宋_GBK"/>
          <w:color w:val="000000"/>
          <w:sz w:val="28"/>
        </w:rPr>
        <w:t>机关的收支包含在部门预算中。</w:t>
      </w:r>
    </w:p>
    <w:p>
      <w:pPr>
        <w:pStyle w:val="26"/>
      </w:pPr>
      <w:r>
        <w:t>1、收入说明</w:t>
      </w:r>
    </w:p>
    <w:p>
      <w:pPr>
        <w:pStyle w:val="26"/>
      </w:pPr>
      <w:r>
        <w:t>反映本部门当年全部收入。2022年预算收入</w:t>
      </w:r>
      <w:r>
        <w:rPr>
          <w:rFonts w:hint="eastAsia"/>
          <w:lang w:val="en-US" w:eastAsia="zh-CN"/>
        </w:rPr>
        <w:t>896.38</w:t>
      </w:r>
      <w:r>
        <w:t>万元，其中：一般公共预算收入</w:t>
      </w:r>
      <w:r>
        <w:rPr>
          <w:rFonts w:hint="eastAsia"/>
          <w:lang w:val="en-US" w:eastAsia="zh-CN"/>
        </w:rPr>
        <w:t>896.38</w:t>
      </w:r>
      <w:r>
        <w:t>万元，基金预算收入0万元，国有资本经营预算收入0万元，财政专户核拨收入0万元，单位资金收入</w:t>
      </w:r>
      <w:r>
        <w:rPr>
          <w:rFonts w:hint="eastAsia"/>
          <w:lang w:val="en-US" w:eastAsia="zh-CN"/>
        </w:rPr>
        <w:t>0</w:t>
      </w:r>
      <w:r>
        <w:t>万元，上年结转</w:t>
      </w:r>
      <w:r>
        <w:rPr>
          <w:rFonts w:hint="eastAsia"/>
          <w:lang w:val="en-US" w:eastAsia="zh-CN"/>
        </w:rPr>
        <w:t>0</w:t>
      </w:r>
      <w:r>
        <w:t>万元。</w:t>
      </w:r>
    </w:p>
    <w:p>
      <w:pPr>
        <w:pStyle w:val="26"/>
      </w:pPr>
      <w:r>
        <w:t>2、支出说明</w:t>
      </w:r>
    </w:p>
    <w:p>
      <w:pPr>
        <w:pStyle w:val="26"/>
      </w:pPr>
      <w:r>
        <w:t>收支预算总表支出栏、基本支出表、项目支出表按经济分类和支出功能分类科目编制，反映</w:t>
      </w:r>
      <w:r>
        <w:rPr>
          <w:rFonts w:hint="eastAsia"/>
          <w:lang w:val="en-US" w:eastAsia="zh-CN"/>
        </w:rPr>
        <w:t>宽城满族自治县旅游和文化广电局</w:t>
      </w:r>
      <w:r>
        <w:t>年度部门预算中支出预算的总体情况。2022年支出预算为</w:t>
      </w:r>
      <w:r>
        <w:rPr>
          <w:rFonts w:hint="eastAsia"/>
          <w:lang w:val="en-US" w:eastAsia="zh-CN"/>
        </w:rPr>
        <w:t>896.38</w:t>
      </w:r>
      <w:r>
        <w:t>万元，其中基本支出</w:t>
      </w:r>
      <w:r>
        <w:rPr>
          <w:rFonts w:hint="eastAsia"/>
          <w:lang w:val="en-US" w:eastAsia="zh-CN"/>
        </w:rPr>
        <w:t>285.93</w:t>
      </w:r>
      <w:r>
        <w:t>万元，包括人员经费</w:t>
      </w:r>
      <w:r>
        <w:rPr>
          <w:rFonts w:hint="eastAsia"/>
          <w:lang w:val="en-US" w:eastAsia="zh-CN"/>
        </w:rPr>
        <w:t>256.08</w:t>
      </w:r>
      <w:r>
        <w:t>万元和日常公用经费</w:t>
      </w:r>
      <w:r>
        <w:rPr>
          <w:rFonts w:hint="eastAsia"/>
          <w:lang w:val="en-US" w:eastAsia="zh-CN"/>
        </w:rPr>
        <w:t>29.85</w:t>
      </w:r>
      <w:r>
        <w:t>万元；项目支出</w:t>
      </w:r>
      <w:r>
        <w:rPr>
          <w:rFonts w:hint="eastAsia"/>
          <w:lang w:val="en-US" w:eastAsia="zh-CN"/>
        </w:rPr>
        <w:t>610.45</w:t>
      </w:r>
      <w:r>
        <w:t>万元，主要为</w:t>
      </w:r>
      <w:r>
        <w:rPr>
          <w:rFonts w:hint="eastAsia"/>
          <w:lang w:val="en-US" w:eastAsia="zh-CN"/>
        </w:rPr>
        <w:t>省级“三馆一站”免费开放补助资金13</w:t>
      </w:r>
      <w:r>
        <w:t>万元，</w:t>
      </w:r>
      <w:r>
        <w:rPr>
          <w:rFonts w:hint="eastAsia"/>
          <w:lang w:val="en-US" w:eastAsia="zh-CN"/>
        </w:rPr>
        <w:t>省级非遗保护专项资金1.2</w:t>
      </w:r>
      <w:r>
        <w:t>万元，</w:t>
      </w:r>
      <w:r>
        <w:rPr>
          <w:rFonts w:hint="eastAsia"/>
          <w:lang w:val="en-US" w:eastAsia="zh-CN"/>
        </w:rPr>
        <w:t>省级文物保护专项资金62</w:t>
      </w:r>
      <w:r>
        <w:t>万元，</w:t>
      </w:r>
      <w:r>
        <w:rPr>
          <w:rFonts w:hint="eastAsia"/>
          <w:lang w:val="en-US" w:eastAsia="zh-CN"/>
        </w:rPr>
        <w:t>中央补助地方公共图书馆、文化馆、文化站免费开放补助资金78</w:t>
      </w:r>
      <w:r>
        <w:t>万元</w:t>
      </w:r>
      <w:r>
        <w:rPr>
          <w:rFonts w:hint="eastAsia"/>
          <w:lang w:eastAsia="zh-CN"/>
        </w:rPr>
        <w:t>，</w:t>
      </w:r>
      <w:r>
        <w:rPr>
          <w:rFonts w:hint="eastAsia"/>
          <w:lang w:val="en-US" w:eastAsia="zh-CN"/>
        </w:rPr>
        <w:t>中央非遗保护专项资金50</w:t>
      </w:r>
      <w:r>
        <w:t>万元</w:t>
      </w:r>
      <w:r>
        <w:rPr>
          <w:rFonts w:hint="eastAsia"/>
          <w:lang w:eastAsia="zh-CN"/>
        </w:rPr>
        <w:t>，</w:t>
      </w:r>
      <w:r>
        <w:rPr>
          <w:rFonts w:hint="eastAsia"/>
          <w:lang w:val="en-US" w:eastAsia="zh-CN"/>
        </w:rPr>
        <w:t>博物馆免费开放补助资金79万元，中央补助地方公共文化服务体系建设资金327.25万元</w:t>
      </w:r>
      <w:r>
        <w:t>。</w:t>
      </w:r>
    </w:p>
    <w:p>
      <w:pPr>
        <w:pStyle w:val="26"/>
      </w:pPr>
      <w:r>
        <w:t>3、比上年增减情况</w:t>
      </w:r>
    </w:p>
    <w:p>
      <w:pPr>
        <w:pStyle w:val="26"/>
      </w:pPr>
      <w:r>
        <w:t>2022年预算收支安排</w:t>
      </w:r>
      <w:r>
        <w:rPr>
          <w:rFonts w:hint="eastAsia"/>
          <w:lang w:val="en-US" w:eastAsia="zh-CN"/>
        </w:rPr>
        <w:t>896.38</w:t>
      </w:r>
      <w:r>
        <w:t>万元，较2021年预算</w:t>
      </w:r>
      <w:r>
        <w:rPr>
          <w:rFonts w:hint="eastAsia"/>
          <w:lang w:val="en-US" w:eastAsia="zh-CN"/>
        </w:rPr>
        <w:t>增加160.27</w:t>
      </w:r>
      <w:r>
        <w:t>万元，其中：基本支出</w:t>
      </w:r>
      <w:r>
        <w:rPr>
          <w:rFonts w:hint="eastAsia"/>
          <w:lang w:val="en-US" w:eastAsia="zh-CN"/>
        </w:rPr>
        <w:t>减少13.99</w:t>
      </w:r>
      <w:r>
        <w:t>万元，主要是</w:t>
      </w:r>
      <w:r>
        <w:rPr>
          <w:rFonts w:hint="eastAsia"/>
          <w:lang w:val="en-US" w:eastAsia="zh-CN"/>
        </w:rPr>
        <w:t>减少</w:t>
      </w:r>
      <w:r>
        <w:t>人员经费支出</w:t>
      </w:r>
      <w:r>
        <w:rPr>
          <w:rFonts w:hint="eastAsia"/>
          <w:lang w:val="en-US" w:eastAsia="zh-CN"/>
        </w:rPr>
        <w:t>26.84</w:t>
      </w:r>
      <w:r>
        <w:t>万元</w:t>
      </w:r>
      <w:r>
        <w:rPr>
          <w:rFonts w:hint="eastAsia"/>
          <w:lang w:eastAsia="zh-CN"/>
        </w:rPr>
        <w:t>，</w:t>
      </w:r>
      <w:r>
        <w:rPr>
          <w:rFonts w:hint="eastAsia"/>
          <w:lang w:val="en-US" w:eastAsia="zh-CN"/>
        </w:rPr>
        <w:t>公用经费减少1.24万元</w:t>
      </w:r>
      <w:r>
        <w:t>；项目支出增加</w:t>
      </w:r>
      <w:r>
        <w:rPr>
          <w:rFonts w:hint="eastAsia"/>
          <w:lang w:val="en-US" w:eastAsia="zh-CN"/>
        </w:rPr>
        <w:t>188.35</w:t>
      </w:r>
      <w:r>
        <w:t>万元，主要为</w:t>
      </w:r>
      <w:r>
        <w:rPr>
          <w:rFonts w:hint="eastAsia"/>
          <w:lang w:val="en-US" w:eastAsia="zh-CN"/>
        </w:rPr>
        <w:t>文物保护</w:t>
      </w:r>
      <w:r>
        <w:t>支出</w:t>
      </w:r>
      <w:r>
        <w:rPr>
          <w:rFonts w:hint="eastAsia"/>
          <w:lang w:val="en-US" w:eastAsia="zh-CN"/>
        </w:rPr>
        <w:t>62</w:t>
      </w:r>
      <w:r>
        <w:t>万元</w:t>
      </w:r>
      <w:r>
        <w:rPr>
          <w:rFonts w:hint="eastAsia"/>
          <w:lang w:eastAsia="zh-CN"/>
        </w:rPr>
        <w:t>，</w:t>
      </w:r>
      <w:r>
        <w:rPr>
          <w:rFonts w:hint="eastAsia"/>
          <w:lang w:val="en-US" w:eastAsia="zh-CN"/>
        </w:rPr>
        <w:t>博物馆免费开放支出79万元，中央补助地方公共文化服务体系建设资金支出47.35万元</w:t>
      </w:r>
      <w:r>
        <w:t>。</w:t>
      </w: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6"/>
        <w:rPr>
          <w:rFonts w:ascii="Times New Roman" w:hAnsi="Times New Roman" w:cs="Times New Roman"/>
        </w:rPr>
      </w:pPr>
      <w:r>
        <w:rPr>
          <w:rFonts w:ascii="Times New Roman" w:hAnsi="Times New Roman" w:cs="Times New Roman"/>
        </w:rPr>
        <w:t>2022年，我部门运行经费共计安排</w:t>
      </w:r>
      <w:r>
        <w:rPr>
          <w:rFonts w:hint="eastAsia" w:ascii="Times New Roman" w:hAnsi="Times New Roman" w:cs="Times New Roman"/>
          <w:lang w:val="en-US" w:eastAsia="zh-CN"/>
        </w:rPr>
        <w:t>29.85</w:t>
      </w:r>
      <w:r>
        <w:rPr>
          <w:rFonts w:ascii="Times New Roman" w:hAnsi="Times New Roman" w:cs="Times New Roman"/>
        </w:rPr>
        <w:t>万元，</w:t>
      </w:r>
      <w:r>
        <w:rPr>
          <w:rFonts w:hint="eastAsia" w:ascii="Times New Roman" w:hAnsi="Times New Roman" w:cs="Times New Roman"/>
          <w:lang w:val="en-US" w:eastAsia="zh-CN"/>
        </w:rPr>
        <w:t>其中：公务通讯补助5.49万元，公务接待3.2万元，工会经费2.02万元，福利费3.5万元，公车运行经费3.5万元，离退休干部公用经费0.57万元，差旅费1.4万元，公务交通补贴9.72万元</w:t>
      </w:r>
      <w:r>
        <w:rPr>
          <w:rFonts w:ascii="Times New Roman" w:hAnsi="Times New Roman" w:cs="Times New Roman"/>
        </w:rPr>
        <w:t>。</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8"/>
      </w:pPr>
      <w:r>
        <w:t>2022年，我部门财政拨款“三公”经费预算安排</w:t>
      </w:r>
      <w:r>
        <w:rPr>
          <w:rFonts w:hint="eastAsia"/>
          <w:lang w:val="en-US" w:eastAsia="zh-CN"/>
        </w:rPr>
        <w:t>6.7</w:t>
      </w:r>
      <w:r>
        <w:t>万元，其中因公出国（境）费</w:t>
      </w:r>
      <w:r>
        <w:rPr>
          <w:rFonts w:hint="eastAsia"/>
          <w:lang w:val="en-US" w:eastAsia="zh-CN"/>
        </w:rPr>
        <w:t>0</w:t>
      </w:r>
      <w:r>
        <w:t>万元；公务用车购置及运维费</w:t>
      </w:r>
      <w:r>
        <w:rPr>
          <w:rFonts w:hint="eastAsia"/>
          <w:lang w:val="en-US" w:eastAsia="zh-CN"/>
        </w:rPr>
        <w:t>3.5</w:t>
      </w:r>
      <w:r>
        <w:t>万元（其中：公务用车购置费为0万元，公务用车运维费</w:t>
      </w:r>
      <w:r>
        <w:rPr>
          <w:rFonts w:hint="eastAsia"/>
          <w:lang w:val="en-US" w:eastAsia="zh-CN"/>
        </w:rPr>
        <w:t>3.5</w:t>
      </w:r>
      <w:r>
        <w:t>万元）；公务接待费</w:t>
      </w:r>
      <w:r>
        <w:rPr>
          <w:rFonts w:hint="eastAsia"/>
          <w:lang w:val="en-US" w:eastAsia="zh-CN"/>
        </w:rPr>
        <w:t>3.2</w:t>
      </w:r>
      <w:r>
        <w:t>万元。与2021年相比减少</w:t>
      </w:r>
      <w:r>
        <w:rPr>
          <w:rFonts w:hint="eastAsia"/>
          <w:lang w:val="en-US" w:eastAsia="zh-CN"/>
        </w:rPr>
        <w:t>0.05</w:t>
      </w:r>
      <w:r>
        <w:t>万元，减少的主要原因是公务运维费减少</w:t>
      </w:r>
      <w:r>
        <w:rPr>
          <w:rFonts w:hint="eastAsia"/>
          <w:lang w:val="en-US" w:eastAsia="zh-CN"/>
        </w:rPr>
        <w:t>0.05</w:t>
      </w:r>
      <w:r>
        <w:t>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ascii="Times New Roman" w:hAnsi="Times New Roman" w:eastAsia="方正仿宋_GBK" w:cs="Times New Roman"/>
          <w:color w:val="000000"/>
          <w:sz w:val="28"/>
          <w:lang w:val="en-US" w:eastAsia="zh-CN"/>
        </w:rPr>
        <w:t>是我们党</w:t>
      </w:r>
      <w:r>
        <w:rPr>
          <w:rFonts w:hint="eastAsia" w:ascii="Times New Roman" w:hAnsi="Times New Roman" w:eastAsia="方正仿宋_GBK" w:cs="Times New Roman"/>
          <w:color w:val="000000"/>
          <w:sz w:val="28"/>
        </w:rPr>
        <w:t>进入全面建设社会主义现代化国家新征程、向着第二个百年奋斗目标进军的重要一年，我们党将召开第二十次全国代表大会。全县文化旅游工作总的要求是：</w:t>
      </w:r>
      <w:r>
        <w:rPr>
          <w:rFonts w:hint="eastAsia" w:ascii="Times New Roman" w:hAnsi="Times New Roman" w:eastAsia="方正仿宋_GBK" w:cs="Times New Roman"/>
          <w:color w:val="000000"/>
          <w:sz w:val="28"/>
          <w:lang w:val="en-US" w:eastAsia="zh-CN"/>
        </w:rPr>
        <w:t>以</w:t>
      </w:r>
      <w:r>
        <w:rPr>
          <w:rFonts w:hint="eastAsia" w:ascii="Times New Roman" w:hAnsi="Times New Roman" w:eastAsia="方正仿宋_GBK" w:cs="Times New Roman"/>
          <w:color w:val="000000"/>
          <w:sz w:val="28"/>
        </w:rPr>
        <w:t>习近平新时代中国特色社会主义思想</w:t>
      </w:r>
      <w:r>
        <w:rPr>
          <w:rFonts w:hint="eastAsia" w:ascii="Times New Roman" w:hAnsi="Times New Roman" w:eastAsia="方正仿宋_GBK" w:cs="Times New Roman"/>
          <w:color w:val="000000"/>
          <w:sz w:val="28"/>
          <w:lang w:val="en-US" w:eastAsia="zh-CN"/>
        </w:rPr>
        <w:t>为指导</w:t>
      </w:r>
      <w:r>
        <w:rPr>
          <w:rFonts w:hint="eastAsia" w:ascii="Times New Roman" w:hAnsi="Times New Roman" w:eastAsia="方正仿宋_GBK" w:cs="Times New Roman"/>
          <w:color w:val="000000"/>
          <w:sz w:val="28"/>
        </w:rPr>
        <w:t>，深入学习贯彻党的十九大和十九届历次全会精神，特别是习近平总书记关于文化和旅游工作重要论述精神，</w:t>
      </w:r>
      <w:r>
        <w:rPr>
          <w:rFonts w:hint="eastAsia" w:ascii="Times New Roman" w:hAnsi="Times New Roman" w:eastAsia="方正仿宋_GBK" w:cs="Times New Roman"/>
          <w:color w:val="000000"/>
          <w:sz w:val="28"/>
          <w:lang w:val="en-US" w:eastAsia="zh-CN"/>
        </w:rPr>
        <w:t>根据</w:t>
      </w:r>
      <w:r>
        <w:rPr>
          <w:rFonts w:hint="eastAsia" w:ascii="Times New Roman" w:hAnsi="Times New Roman" w:eastAsia="方正仿宋_GBK" w:cs="Times New Roman"/>
          <w:color w:val="000000"/>
          <w:sz w:val="28"/>
        </w:rPr>
        <w:t>县委</w:t>
      </w:r>
      <w:r>
        <w:rPr>
          <w:rFonts w:hint="eastAsia" w:ascii="Times New Roman" w:hAnsi="Times New Roman" w:eastAsia="方正仿宋_GBK" w:cs="Times New Roman"/>
          <w:color w:val="000000"/>
          <w:sz w:val="28"/>
          <w:lang w:val="en-US" w:eastAsia="zh-CN"/>
        </w:rPr>
        <w:t>县政府</w:t>
      </w:r>
      <w:r>
        <w:rPr>
          <w:rFonts w:hint="eastAsia" w:ascii="Times New Roman" w:hAnsi="Times New Roman" w:eastAsia="方正仿宋_GBK" w:cs="Times New Roman"/>
          <w:color w:val="000000"/>
          <w:sz w:val="28"/>
        </w:rPr>
        <w:t>工作部署，不断增强工作责任感使命感</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紧紧围绕迎接宣传贯彻党的二十大这一主线，组织好主题性文艺创作和演出演播、展览展示活动，推出一批优秀舞台艺术和美术作品，营造良好文化氛围；坚持立足新发展阶段，全面贯彻新发展理念，融入和服务新发展格局，把握新任务新要求，推动文化和旅游高质量发展；坚持稳字当头、稳中求进工作总基调，统筹推进“十四五”规划实施和年度工作计划落实，统筹疫情防控和经济社会发展，统筹发展与安全，推动文化和旅游工作行稳致远、再开新篇，以优异成绩迎接党的二十大胜利召开。</w:t>
      </w:r>
    </w:p>
    <w:p>
      <w:pPr>
        <w:spacing w:line="500" w:lineRule="exact"/>
        <w:ind w:firstLine="560"/>
      </w:pPr>
      <w:r>
        <w:rPr>
          <w:rFonts w:eastAsia="方正仿宋_GBK"/>
          <w:color w:val="000000"/>
          <w:sz w:val="28"/>
        </w:rPr>
        <w:t>（二）分项绩效目标</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 xml:space="preserve">公共文化服务 </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w:t>
      </w:r>
      <w:r>
        <w:rPr>
          <w:rFonts w:hint="eastAsia" w:ascii="Times New Roman" w:hAnsi="Times New Roman" w:eastAsia="方正仿宋_GBK" w:cs="Times New Roman"/>
          <w:color w:val="000000"/>
          <w:sz w:val="28"/>
          <w:lang w:val="en-US" w:eastAsia="zh-CN"/>
        </w:rPr>
        <w:t>引导和支持地方提供基本公共文化服务项目</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改善基础公共文化设施条件，加强基层公共文化服务人才建设等，支出加快构建现代公共文化服务体系、促进基本公共文化服务标准化、均等化。</w:t>
      </w:r>
      <w:r>
        <w:rPr>
          <w:rFonts w:hint="eastAsia" w:ascii="Times New Roman" w:hAnsi="Times New Roman" w:eastAsia="方正仿宋_GBK" w:cs="Times New Roman"/>
          <w:color w:val="000000"/>
          <w:sz w:val="28"/>
        </w:rPr>
        <w:t>满足人民群众公共文化服务需求；提升公共文化服务效能，丰富优秀公共文化产品供给，活跃群众文化生活；壮大公共文化服务人才队伍。</w:t>
      </w:r>
    </w:p>
    <w:p>
      <w:pPr>
        <w:spacing w:line="500" w:lineRule="exact"/>
        <w:ind w:firstLine="560"/>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绩效指标：举办文化活动场次</w:t>
      </w:r>
      <w:r>
        <w:rPr>
          <w:rFonts w:hint="eastAsia" w:ascii="Times New Roman" w:hAnsi="Times New Roman" w:eastAsia="方正仿宋_GBK" w:cs="Times New Roman"/>
          <w:color w:val="000000"/>
          <w:sz w:val="28"/>
          <w:lang w:val="en-US" w:eastAsia="zh-CN"/>
        </w:rPr>
        <w:t>100次；通过公益演出支持濒危剧种2种；公共文化云开展全民艺术普及相关直播场次20场次；公共文化云项目年度任务完成率达到15%；戏曲进乡村演出节目中地方戏曲目占比20%。</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 xml:space="preserve">文化艺术生产 </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绩效目标：公共图书馆、文化馆及乡镇文化站全部免费开放向社会公众开展基本公共文化服务</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绩效指标：免费开放场馆（站）组织举办各种展览、培训、讲座等文化活动的数量</w:t>
      </w:r>
      <w:r>
        <w:rPr>
          <w:rFonts w:hint="eastAsia" w:ascii="Times New Roman" w:hAnsi="Times New Roman" w:eastAsia="方正仿宋_GBK" w:cs="Times New Roman"/>
          <w:color w:val="000000"/>
          <w:sz w:val="28"/>
          <w:lang w:val="en-US" w:eastAsia="zh-CN"/>
        </w:rPr>
        <w:t>120次；举办文化活动较上年增长5%；群众参与人次较上年增长5%；补助资金到位率100%</w:t>
      </w:r>
      <w:r>
        <w:rPr>
          <w:rFonts w:hint="eastAsia" w:ascii="Times New Roman" w:hAnsi="Times New Roman" w:eastAsia="方正仿宋_GBK" w:cs="Times New Roman"/>
          <w:color w:val="000000"/>
          <w:sz w:val="28"/>
        </w:rPr>
        <w:t>。</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 xml:space="preserve">文化保护 </w:t>
      </w:r>
    </w:p>
    <w:p>
      <w:pPr>
        <w:spacing w:line="500" w:lineRule="exact"/>
        <w:ind w:firstLine="560"/>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绩效目标：传承培育队伍，排演民间故事，展示推广，在非遗日开展非遗进乡村进校园公益演出活动</w:t>
      </w:r>
      <w:r>
        <w:rPr>
          <w:rFonts w:hint="eastAsia" w:ascii="Times New Roman" w:hAnsi="Times New Roman" w:eastAsia="方正仿宋_GBK" w:cs="Times New Roman"/>
          <w:color w:val="000000"/>
          <w:sz w:val="28"/>
          <w:lang w:eastAsia="zh-CN"/>
        </w:rPr>
        <w:t>。传承培育队伍，排演民间故事，展示推广，在非遗日开展非遗进乡村进校园公益演出活动</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绩效指标：开展记录保护，拍摄、制作演出视频等档案资料数量</w:t>
      </w:r>
      <w:r>
        <w:rPr>
          <w:rFonts w:hint="eastAsia" w:ascii="Times New Roman" w:hAnsi="Times New Roman" w:eastAsia="方正仿宋_GBK" w:cs="Times New Roman"/>
          <w:color w:val="000000"/>
          <w:sz w:val="28"/>
          <w:lang w:val="en-US" w:eastAsia="zh-CN"/>
        </w:rPr>
        <w:t>8次；开展推广活动，进校园进乡村公益演出活动8天；举办非遗培训班6期；组织传承队伍培训、排练在非遗日开展社会宣传；开展传承、保护、推广、展示活动在2022年年底完成；补助代表性传承人活动2人；非遗传承人展示推广活动5次；非遗展示推广活动受众人数500人；传习人补助发放到位率95%</w:t>
      </w:r>
      <w:r>
        <w:rPr>
          <w:rFonts w:hint="eastAsia" w:ascii="Times New Roman" w:hAnsi="Times New Roman" w:eastAsia="方正仿宋_GBK" w:cs="Times New Roman"/>
          <w:color w:val="000000"/>
          <w:sz w:val="28"/>
        </w:rPr>
        <w:t>。</w:t>
      </w: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4、发展博物馆事业</w:t>
      </w:r>
    </w:p>
    <w:p>
      <w:pPr>
        <w:spacing w:line="500" w:lineRule="exact"/>
        <w:ind w:firstLine="560"/>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绩效目标：有效提升服务水平，促进博物馆事业发展</w:t>
      </w:r>
      <w:r>
        <w:rPr>
          <w:rFonts w:hint="eastAsia" w:ascii="Times New Roman" w:hAnsi="Times New Roman" w:eastAsia="方正仿宋_GBK" w:cs="Times New Roman"/>
          <w:color w:val="000000"/>
          <w:sz w:val="28"/>
          <w:lang w:eastAsia="zh-CN"/>
        </w:rPr>
        <w:t>，做好博物馆免费开放的管理运行与安全保证等工作，推进文化传播和社会教育。</w:t>
      </w:r>
    </w:p>
    <w:p>
      <w:pPr>
        <w:spacing w:line="500" w:lineRule="exact"/>
        <w:ind w:firstLine="560"/>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绩效指标：定期组织讲解员培训，确保展厅及临时展览及时更新、达标，保证各种安防设施正常使用。年举办临时展览5个，参观人数达到38000人。有完善的安防技防设备，与保安公司签约保安人员维护馆内安全，服务设施设备完好。专项经费全部及时到位，全部用于博物馆免费开放正常运转、展览提升、临时展览、业务技能培训，提高业务素质等</w:t>
      </w:r>
      <w:r>
        <w:rPr>
          <w:rFonts w:hint="eastAsia" w:ascii="Times New Roman" w:hAnsi="Times New Roman" w:eastAsia="方正仿宋_GBK" w:cs="Times New Roman"/>
          <w:color w:val="000000"/>
          <w:sz w:val="28"/>
          <w:lang w:eastAsia="zh-CN"/>
        </w:rPr>
        <w:t>。</w:t>
      </w: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5、文物保护</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绩效目标：重点完成文物保护范围内的大望圈北侧石壁、主峰石壁，小望圈北侧、庙洼顶部石壁、部分山体、增加视频监控系统、应急系统、安防供配电及防雷系统、远程传输、监控中心机房建设。</w:t>
      </w:r>
    </w:p>
    <w:p>
      <w:pPr>
        <w:spacing w:line="500" w:lineRule="exact"/>
        <w:ind w:firstLine="560"/>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绩效指标：项目包括大望圈北侧石壁、主峰石壁，小望圈北侧、庙洼顶部石壁、部分山体。达到设计方案要求</w:t>
      </w:r>
      <w:r>
        <w:rPr>
          <w:rFonts w:hint="eastAsia" w:ascii="Times New Roman" w:hAnsi="Times New Roman" w:eastAsia="方正仿宋_GBK" w:cs="Times New Roman"/>
          <w:color w:val="000000"/>
          <w:sz w:val="28"/>
          <w:lang w:eastAsia="zh-CN"/>
        </w:rPr>
        <w:t>。按合同要求，按期完成。严格按照河北省文物局下拨资金数量进行项目实施。促进宽城旅游业发展，增加旅游业收入。文物与文化遗产得到有效保护。通过本工程实施的宣传、科学展示及有效利用，引起了各界人士的高度关注和重视，扩大了其社会影响，提高了宽城县的历史文化品位，成为当地政府近几年来文物与文化旅游工作的重点和文化名片。</w:t>
      </w:r>
    </w:p>
    <w:p>
      <w:pPr>
        <w:numPr>
          <w:ilvl w:val="0"/>
          <w:numId w:val="2"/>
        </w:numPr>
        <w:spacing w:line="500" w:lineRule="exact"/>
        <w:ind w:firstLine="560"/>
        <w:rPr>
          <w:rFonts w:hint="eastAsia" w:ascii="Times New Roman" w:hAnsi="Times New Roman" w:eastAsia="方正仿宋_GBK" w:cs="Times New Roman"/>
          <w:color w:val="000000"/>
          <w:sz w:val="28"/>
          <w:lang w:val="en-US" w:eastAsia="zh-CN"/>
        </w:rPr>
      </w:pPr>
      <w:r>
        <w:rPr>
          <w:rFonts w:hint="eastAsia" w:eastAsia="方正仿宋_GBK"/>
          <w:color w:val="000000"/>
          <w:sz w:val="28"/>
          <w:lang w:val="en-US" w:eastAsia="zh-CN"/>
        </w:rPr>
        <w:t>旅游规划及重点项目建设</w:t>
      </w:r>
    </w:p>
    <w:p>
      <w:pPr>
        <w:numPr>
          <w:ilvl w:val="0"/>
          <w:numId w:val="2"/>
        </w:numPr>
        <w:spacing w:line="500" w:lineRule="exact"/>
        <w:ind w:firstLine="560"/>
        <w:rPr>
          <w:rFonts w:hint="eastAsia" w:ascii="Times New Roman" w:hAnsi="Times New Roman" w:eastAsia="方正仿宋_GBK" w:cs="Times New Roman"/>
          <w:color w:val="000000"/>
          <w:sz w:val="28"/>
          <w:lang w:val="en-US" w:eastAsia="zh-CN"/>
        </w:rPr>
      </w:pPr>
      <w:r>
        <w:rPr>
          <w:rFonts w:hint="eastAsia" w:eastAsia="方正仿宋_GBK"/>
          <w:color w:val="000000"/>
          <w:sz w:val="28"/>
          <w:lang w:val="en-US" w:eastAsia="zh-CN"/>
        </w:rPr>
        <w:t xml:space="preserve">        </w:t>
      </w:r>
      <w:r>
        <w:rPr>
          <w:rFonts w:hint="eastAsia" w:ascii="Times New Roman" w:hAnsi="Times New Roman" w:eastAsia="方正仿宋_GBK" w:cs="Times New Roman"/>
          <w:color w:val="000000"/>
          <w:sz w:val="28"/>
        </w:rPr>
        <w:t>绩效目标：</w:t>
      </w:r>
      <w:r>
        <w:rPr>
          <w:rFonts w:hint="eastAsia" w:ascii="Times New Roman" w:hAnsi="Times New Roman" w:eastAsia="方正仿宋_GBK" w:cs="Times New Roman"/>
          <w:color w:val="000000"/>
          <w:sz w:val="28"/>
          <w:lang w:val="en-US" w:eastAsia="zh-CN"/>
        </w:rPr>
        <w:t>谋划实施重点项目，2022年重点推进6个重点项目建设。</w:t>
      </w:r>
    </w:p>
    <w:p>
      <w:pPr>
        <w:spacing w:line="500" w:lineRule="exact"/>
        <w:ind w:firstLine="560"/>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绩效指标：1、淘金小镇项目。总投资1.2亿元，占地面积8.8万平米，建筑面积3万平米。2、右岸满族旅游文化休闲街区建设项目。总面积4.6万平方米，打造“体验新场景、满族会客厅”，发展夜经济。3、宽迁段长城国家文化公园建设项目。联合唐山文旅集团、唐山全域旅游公司、迁西县政府实现共赢发展，借力唐山文旅集团对青山关、喜峰口一线长城保护开发，合力跑办赤曹高速和宽迁旅游公路立项批复，多方筹资启动工程建设，打通宽城与京津唐大中城市及出海通道，打造国家长城文化公园建设宽迁段品牌。4、长城城堡高端民宿建设项目。由承德旺正集团投资建设，预计投资2亿元，在桲罗台新甸子村对原闲置破损的金泰度假酒店进行重建，打造全国乃至全世界知名品牌高端民宿。5、农村应急广播体系建设项目。拟向省广电局争取专项资金500万元，建设广播线路及广播大喇叭，6、喜峰口长城国家文化公园“水上风景道”建设项目。该项目拟在喜峰口、潘家口长城沿线蟠龙湖区域建设码头、渡口、水上浮台、观景平台、生态仿木栏杆、标识标牌等。7、</w:t>
      </w:r>
      <w:r>
        <w:rPr>
          <w:rFonts w:hint="eastAsia" w:ascii="Times New Roman" w:hAnsi="Times New Roman" w:eastAsia="方正仿宋_GBK" w:cs="Times New Roman"/>
          <w:color w:val="000000"/>
          <w:sz w:val="28"/>
          <w:lang w:eastAsia="zh-CN"/>
        </w:rPr>
        <w:t>黄崖寺塔群安防工程。争取省文物局专项资金，安装视频监控系统、应急广播系统、安防供配电及防雷系统、远程传输、建设监控中心机房。</w:t>
      </w:r>
    </w:p>
    <w:p>
      <w:pPr>
        <w:spacing w:line="500" w:lineRule="exact"/>
        <w:ind w:firstLine="560"/>
        <w:rPr>
          <w:rFonts w:hint="eastAsia" w:ascii="Times New Roman" w:hAnsi="Times New Roman" w:eastAsia="方正仿宋_GBK" w:cs="Times New Roman"/>
          <w:color w:val="000000"/>
          <w:sz w:val="28"/>
          <w:lang w:val="en-US" w:eastAsia="zh-CN"/>
        </w:rPr>
      </w:pPr>
    </w:p>
    <w:p>
      <w:pPr>
        <w:spacing w:line="500" w:lineRule="exact"/>
        <w:ind w:firstLine="560" w:firstLineChars="200"/>
      </w:pPr>
      <w:r>
        <w:rPr>
          <w:rFonts w:eastAsia="方正仿宋_GBK"/>
          <w:color w:val="000000"/>
          <w:sz w:val="28"/>
        </w:rPr>
        <w:t>（三）工作保障措施</w:t>
      </w:r>
    </w:p>
    <w:p>
      <w:pPr>
        <w:pStyle w:val="31"/>
        <w:ind w:firstLine="932" w:firstLineChars="333"/>
      </w:pPr>
      <w:r>
        <w:rPr>
          <w:rFonts w:hint="eastAsia"/>
          <w:lang w:val="en-US" w:eastAsia="zh-CN"/>
        </w:rPr>
        <w:t>1、</w:t>
      </w:r>
      <w:r>
        <w:t>加强制度建设。建立健全机关预算绩效管理制度，为全年预算绩效目标的实现奠定制度基础。</w:t>
      </w:r>
    </w:p>
    <w:p>
      <w:pPr>
        <w:pStyle w:val="31"/>
        <w:ind w:firstLine="932" w:firstLineChars="333"/>
      </w:pPr>
      <w:r>
        <w:rPr>
          <w:rFonts w:hint="eastAsia"/>
          <w:lang w:val="en-US" w:eastAsia="zh-CN"/>
        </w:rPr>
        <w:t>2、</w:t>
      </w:r>
      <w:r>
        <w:t>规范财务管理。进一步完善财务管理制度，通过科学编制预算、优化支出结构、加快政府采购、加快项目建设、及时拨付资金，确保经费支出进度达到规定标准。</w:t>
      </w:r>
    </w:p>
    <w:p>
      <w:pPr>
        <w:pStyle w:val="31"/>
        <w:ind w:firstLine="932" w:firstLineChars="333"/>
      </w:pPr>
      <w:r>
        <w:rPr>
          <w:rFonts w:hint="eastAsia"/>
          <w:lang w:val="en-US" w:eastAsia="zh-CN"/>
        </w:rPr>
        <w:t>3、</w:t>
      </w:r>
      <w:r>
        <w:t>加强内部控制。加强内部控制建设，对重大事项、资产处置及其他重要经济业务事项决策和执行进行监督，定期开展财务内部审计，确保财政资金使用安全有效。</w:t>
      </w:r>
    </w:p>
    <w:p>
      <w:pPr>
        <w:pStyle w:val="31"/>
        <w:ind w:firstLine="932" w:firstLineChars="333"/>
      </w:pPr>
      <w:r>
        <w:rPr>
          <w:rFonts w:hint="eastAsia"/>
          <w:lang w:val="en-US" w:eastAsia="zh-CN"/>
        </w:rPr>
        <w:t>4、</w:t>
      </w:r>
      <w:r>
        <w:t>加强绩效监控。积极开展绩效运行监控，发现问题及时采取措施，确保绩效目标如期保质实现。</w:t>
      </w:r>
    </w:p>
    <w:p>
      <w:pPr>
        <w:pStyle w:val="31"/>
        <w:ind w:firstLine="932" w:firstLineChars="333"/>
      </w:pPr>
      <w:r>
        <w:rPr>
          <w:rFonts w:hint="eastAsia"/>
          <w:lang w:val="en-US" w:eastAsia="zh-CN"/>
        </w:rPr>
        <w:t>5、</w:t>
      </w:r>
      <w:r>
        <w:t>做好绩效自评。按要求开展部门预算绩效自评和重点评价工作，对评价中发现的问题及时整改。</w:t>
      </w:r>
    </w:p>
    <w:p>
      <w:pPr>
        <w:pStyle w:val="31"/>
        <w:ind w:firstLine="932" w:firstLineChars="333"/>
      </w:pPr>
      <w:r>
        <w:rPr>
          <w:rFonts w:hint="eastAsia"/>
          <w:lang w:val="en-US" w:eastAsia="zh-CN"/>
        </w:rPr>
        <w:t>6、</w:t>
      </w:r>
      <w:r>
        <w:t>加强宣传培训。加强人员培训，加大宣传力度，强化预算绩效管理意识，促进预算绩效管理水平提升。</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asciiTheme="minorHAnsi" w:hAnsiTheme="minorHAnsi"/>
          <w:lang w:val="uk-UA"/>
        </w:rPr>
      </w:pPr>
      <w:r>
        <w:rPr>
          <w:rFonts w:eastAsia="方正仿宋_GBK"/>
          <w:color w:val="000000"/>
          <w:sz w:val="28"/>
        </w:rPr>
        <w:t>无</w:t>
      </w:r>
      <w:r>
        <w:t>。</w:t>
      </w:r>
    </w:p>
    <w:p>
      <w:pPr>
        <w:pStyle w:val="32"/>
        <w:ind w:firstLine="640"/>
      </w:pPr>
      <w:r>
        <w:rPr>
          <w:rFonts w:ascii="方正楷体_GBK" w:hAnsi="方正楷体_GBK" w:eastAsia="方正楷体_GBK" w:cs="方正楷体_GBK"/>
          <w:b/>
          <w:color w:val="000000"/>
          <w:sz w:val="32"/>
        </w:rPr>
        <w:t>第三部分  预算项目绩效目标</w:t>
      </w:r>
    </w:p>
    <w:p>
      <w:pPr>
        <w:pStyle w:val="32"/>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中央补助地方公共文化服务体系建设专项资金</w:t>
      </w: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rPr>
                <w:rFonts w:hint="eastAsia"/>
              </w:rPr>
              <w:t>引导和支持地方提供基本公共文化服务项目，改善基础公共文化设施条件，加强基层公共文化服务人才建设，支出加快构建现代化公共文化服务体系，促进基本公文化服务标准化、均等化。</w:t>
            </w:r>
          </w:p>
        </w:tc>
      </w:tr>
    </w:tbl>
    <w:p>
      <w:pPr>
        <w:pStyle w:val="32"/>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bottom w:val="nil"/>
            </w:tcBorders>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nil"/>
            </w:tcBorders>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rPr>
                <w:rFonts w:hint="eastAsia"/>
              </w:rPr>
              <w:t>举办文化活动场次</w:t>
            </w:r>
          </w:p>
        </w:tc>
        <w:tc>
          <w:tcPr>
            <w:tcW w:w="2835" w:type="dxa"/>
            <w:vAlign w:val="center"/>
          </w:tcPr>
          <w:p>
            <w:pPr>
              <w:pStyle w:val="34"/>
            </w:pPr>
            <w:r>
              <w:rPr>
                <w:rFonts w:hint="eastAsia"/>
              </w:rPr>
              <w:t>举办文化活动场次</w:t>
            </w:r>
          </w:p>
        </w:tc>
        <w:tc>
          <w:tcPr>
            <w:tcW w:w="2551" w:type="dxa"/>
            <w:vAlign w:val="center"/>
          </w:tcPr>
          <w:p>
            <w:pPr>
              <w:pStyle w:val="34"/>
              <w:rPr>
                <w:rFonts w:hint="default" w:eastAsia="方正书宋_GBK"/>
                <w:lang w:val="en-US" w:eastAsia="zh-CN"/>
              </w:rPr>
            </w:pPr>
            <w:r>
              <w:t>≤</w:t>
            </w:r>
            <w:r>
              <w:rPr>
                <w:rFonts w:hint="eastAsia"/>
                <w:lang w:val="en-US" w:eastAsia="zh-CN"/>
              </w:rPr>
              <w:t>100场次</w:t>
            </w:r>
          </w:p>
        </w:tc>
        <w:tc>
          <w:tcPr>
            <w:tcW w:w="2268" w:type="dxa"/>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pPr>
            <w:r>
              <w:rPr>
                <w:rFonts w:hint="eastAsia"/>
                <w:lang w:val="en-US" w:eastAsia="zh-CN"/>
              </w:rPr>
              <w:t>数</w:t>
            </w:r>
            <w:r>
              <w:t>量指标</w:t>
            </w:r>
          </w:p>
        </w:tc>
        <w:tc>
          <w:tcPr>
            <w:tcW w:w="2835" w:type="dxa"/>
            <w:vAlign w:val="center"/>
          </w:tcPr>
          <w:p>
            <w:pPr>
              <w:pStyle w:val="34"/>
            </w:pPr>
            <w:r>
              <w:rPr>
                <w:rFonts w:hint="eastAsia"/>
              </w:rPr>
              <w:t>通过公益演出支持濒危剧种数量</w:t>
            </w:r>
          </w:p>
        </w:tc>
        <w:tc>
          <w:tcPr>
            <w:tcW w:w="2835" w:type="dxa"/>
            <w:vAlign w:val="center"/>
          </w:tcPr>
          <w:p>
            <w:pPr>
              <w:pStyle w:val="34"/>
            </w:pPr>
            <w:r>
              <w:rPr>
                <w:rFonts w:hint="eastAsia"/>
              </w:rPr>
              <w:t>通过公益演出支持濒危剧种数量</w:t>
            </w:r>
          </w:p>
        </w:tc>
        <w:tc>
          <w:tcPr>
            <w:tcW w:w="2551" w:type="dxa"/>
            <w:vAlign w:val="center"/>
          </w:tcPr>
          <w:p>
            <w:pPr>
              <w:pStyle w:val="34"/>
              <w:rPr>
                <w:rFonts w:hint="default" w:eastAsia="方正书宋_GBK"/>
                <w:lang w:val="en-US" w:eastAsia="zh-CN"/>
              </w:rPr>
            </w:pPr>
            <w:r>
              <w:rPr>
                <w:rFonts w:hint="eastAsia"/>
                <w:lang w:val="en-US" w:eastAsia="zh-CN"/>
              </w:rPr>
              <w:t>＝2种</w:t>
            </w:r>
          </w:p>
        </w:tc>
        <w:tc>
          <w:tcPr>
            <w:tcW w:w="2268" w:type="dxa"/>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pPr>
            <w:r>
              <w:rPr>
                <w:rFonts w:hint="eastAsia"/>
                <w:lang w:val="en-US" w:eastAsia="zh-CN"/>
              </w:rPr>
              <w:t>数量</w:t>
            </w:r>
            <w:r>
              <w:t>指标</w:t>
            </w:r>
          </w:p>
        </w:tc>
        <w:tc>
          <w:tcPr>
            <w:tcW w:w="2835" w:type="dxa"/>
            <w:vAlign w:val="center"/>
          </w:tcPr>
          <w:p>
            <w:pPr>
              <w:pStyle w:val="34"/>
            </w:pPr>
            <w:r>
              <w:rPr>
                <w:rFonts w:hint="eastAsia"/>
              </w:rPr>
              <w:t>公共文化云开展全民艺术普及相关直播场次</w:t>
            </w:r>
          </w:p>
        </w:tc>
        <w:tc>
          <w:tcPr>
            <w:tcW w:w="2835" w:type="dxa"/>
            <w:vAlign w:val="center"/>
          </w:tcPr>
          <w:p>
            <w:pPr>
              <w:pStyle w:val="34"/>
            </w:pPr>
            <w:r>
              <w:rPr>
                <w:rFonts w:hint="eastAsia"/>
              </w:rPr>
              <w:t>公共文化云开展全民艺术普及相关直播场次</w:t>
            </w:r>
          </w:p>
        </w:tc>
        <w:tc>
          <w:tcPr>
            <w:tcW w:w="2551" w:type="dxa"/>
            <w:vAlign w:val="center"/>
          </w:tcPr>
          <w:p>
            <w:pPr>
              <w:pStyle w:val="34"/>
            </w:pPr>
            <w:r>
              <w:t>≤</w:t>
            </w:r>
            <w:r>
              <w:rPr>
                <w:rFonts w:hint="eastAsia"/>
                <w:lang w:val="en-US" w:eastAsia="zh-CN"/>
              </w:rPr>
              <w:t>20场次</w:t>
            </w:r>
          </w:p>
        </w:tc>
        <w:tc>
          <w:tcPr>
            <w:tcW w:w="2268" w:type="dxa"/>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jc w:val="center"/>
        </w:trPr>
        <w:tc>
          <w:tcPr>
            <w:tcW w:w="1417" w:type="dxa"/>
            <w:vMerge w:val="continue"/>
            <w:vAlign w:val="center"/>
          </w:tcPr>
          <w:p>
            <w:pPr>
              <w:pStyle w:val="32"/>
            </w:pPr>
          </w:p>
        </w:tc>
        <w:tc>
          <w:tcPr>
            <w:tcW w:w="2268" w:type="dxa"/>
            <w:tcBorders>
              <w:bottom w:val="single" w:color="auto" w:sz="4" w:space="0"/>
            </w:tcBorders>
            <w:vAlign w:val="center"/>
          </w:tcPr>
          <w:p>
            <w:pPr>
              <w:pStyle w:val="34"/>
            </w:pPr>
            <w:r>
              <w:rPr>
                <w:rFonts w:hint="eastAsia"/>
                <w:lang w:val="en-US" w:eastAsia="zh-CN"/>
              </w:rPr>
              <w:t>质量</w:t>
            </w:r>
            <w:r>
              <w:t>指标</w:t>
            </w:r>
          </w:p>
        </w:tc>
        <w:tc>
          <w:tcPr>
            <w:tcW w:w="2835" w:type="dxa"/>
            <w:tcBorders>
              <w:bottom w:val="single" w:color="auto" w:sz="4" w:space="0"/>
            </w:tcBorders>
            <w:vAlign w:val="center"/>
          </w:tcPr>
          <w:p>
            <w:pPr>
              <w:pStyle w:val="34"/>
            </w:pPr>
            <w:r>
              <w:rPr>
                <w:rFonts w:hint="eastAsia"/>
              </w:rPr>
              <w:t>公共文化云项目年度任务完成率</w:t>
            </w:r>
          </w:p>
        </w:tc>
        <w:tc>
          <w:tcPr>
            <w:tcW w:w="2835" w:type="dxa"/>
            <w:tcBorders>
              <w:bottom w:val="single" w:color="auto" w:sz="4" w:space="0"/>
            </w:tcBorders>
            <w:vAlign w:val="center"/>
          </w:tcPr>
          <w:p>
            <w:pPr>
              <w:pStyle w:val="34"/>
            </w:pPr>
            <w:r>
              <w:rPr>
                <w:rFonts w:hint="eastAsia"/>
              </w:rPr>
              <w:t>公共文化云项目年度任务完成率</w:t>
            </w:r>
          </w:p>
        </w:tc>
        <w:tc>
          <w:tcPr>
            <w:tcW w:w="2551" w:type="dxa"/>
            <w:tcBorders>
              <w:bottom w:val="single" w:color="auto" w:sz="4" w:space="0"/>
            </w:tcBorders>
            <w:vAlign w:val="center"/>
          </w:tcPr>
          <w:p>
            <w:pPr>
              <w:pStyle w:val="34"/>
              <w:rPr>
                <w:rFonts w:hint="default" w:eastAsia="方正书宋_GBK"/>
                <w:lang w:val="en-US" w:eastAsia="zh-CN"/>
              </w:rPr>
            </w:pPr>
            <w:r>
              <w:t>≤</w:t>
            </w:r>
            <w:r>
              <w:rPr>
                <w:rFonts w:hint="eastAsia"/>
                <w:lang w:val="en-US" w:eastAsia="zh-CN"/>
              </w:rPr>
              <w:t>15%</w:t>
            </w:r>
          </w:p>
        </w:tc>
        <w:tc>
          <w:tcPr>
            <w:tcW w:w="2268" w:type="dxa"/>
            <w:tcBorders>
              <w:bottom w:val="single" w:color="auto" w:sz="4" w:space="0"/>
            </w:tcBorders>
            <w:vAlign w:val="center"/>
          </w:tcPr>
          <w:p>
            <w:pPr>
              <w:pStyle w:val="34"/>
              <w:rPr>
                <w:rFonts w:hint="eastAsia" w:eastAsia="方正书宋_GBK"/>
                <w:lang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17" w:type="dxa"/>
            <w:vMerge w:val="continue"/>
            <w:vAlign w:val="center"/>
          </w:tcPr>
          <w:p>
            <w:pPr>
              <w:pStyle w:val="32"/>
            </w:pPr>
          </w:p>
        </w:tc>
        <w:tc>
          <w:tcPr>
            <w:tcW w:w="2268" w:type="dxa"/>
            <w:tcBorders>
              <w:top w:val="single" w:color="auto" w:sz="4" w:space="0"/>
            </w:tcBorders>
            <w:vAlign w:val="center"/>
          </w:tcPr>
          <w:p>
            <w:pPr>
              <w:pStyle w:val="34"/>
              <w:rPr>
                <w:rFonts w:hint="default" w:eastAsia="方正书宋_GBK"/>
                <w:lang w:val="en-US" w:eastAsia="zh-CN"/>
              </w:rPr>
            </w:pPr>
            <w:r>
              <w:rPr>
                <w:rFonts w:hint="eastAsia"/>
                <w:lang w:val="en-US" w:eastAsia="zh-CN"/>
              </w:rPr>
              <w:t>质量指标</w:t>
            </w:r>
          </w:p>
        </w:tc>
        <w:tc>
          <w:tcPr>
            <w:tcW w:w="2835" w:type="dxa"/>
            <w:tcBorders>
              <w:top w:val="single" w:color="auto" w:sz="4" w:space="0"/>
            </w:tcBorders>
            <w:vAlign w:val="center"/>
          </w:tcPr>
          <w:p>
            <w:pPr>
              <w:pStyle w:val="34"/>
              <w:rPr>
                <w:rFonts w:hint="eastAsia"/>
              </w:rPr>
            </w:pPr>
            <w:r>
              <w:rPr>
                <w:rFonts w:hint="eastAsia"/>
              </w:rPr>
              <w:t>戏曲进乡村演出节目中地方戏曲目占比</w:t>
            </w:r>
          </w:p>
        </w:tc>
        <w:tc>
          <w:tcPr>
            <w:tcW w:w="2835" w:type="dxa"/>
            <w:tcBorders>
              <w:top w:val="single" w:color="auto" w:sz="4" w:space="0"/>
            </w:tcBorders>
            <w:vAlign w:val="center"/>
          </w:tcPr>
          <w:p>
            <w:pPr>
              <w:pStyle w:val="34"/>
              <w:rPr>
                <w:rFonts w:hint="eastAsia"/>
              </w:rPr>
            </w:pPr>
            <w:r>
              <w:rPr>
                <w:rFonts w:hint="eastAsia"/>
              </w:rPr>
              <w:t>戏曲进乡村演出节目中地方戏曲目占比</w:t>
            </w:r>
          </w:p>
        </w:tc>
        <w:tc>
          <w:tcPr>
            <w:tcW w:w="2551" w:type="dxa"/>
            <w:tcBorders>
              <w:top w:val="single" w:color="auto" w:sz="4" w:space="0"/>
            </w:tcBorders>
            <w:vAlign w:val="center"/>
          </w:tcPr>
          <w:p>
            <w:pPr>
              <w:pStyle w:val="34"/>
            </w:pPr>
            <w:r>
              <w:t>≤</w:t>
            </w:r>
            <w:r>
              <w:rPr>
                <w:rFonts w:hint="eastAsia"/>
                <w:lang w:val="en-US" w:eastAsia="zh-CN"/>
              </w:rPr>
              <w:t>20%</w:t>
            </w:r>
          </w:p>
        </w:tc>
        <w:tc>
          <w:tcPr>
            <w:tcW w:w="2268" w:type="dxa"/>
            <w:tcBorders>
              <w:top w:val="single" w:color="auto" w:sz="4" w:space="0"/>
            </w:tcBorders>
            <w:vAlign w:val="center"/>
          </w:tcPr>
          <w:p>
            <w:pPr>
              <w:pStyle w:val="34"/>
              <w:rPr>
                <w:rFonts w:hint="eastAsia"/>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417" w:type="dxa"/>
            <w:vMerge w:val="restart"/>
            <w:vAlign w:val="center"/>
          </w:tcPr>
          <w:p>
            <w:pPr>
              <w:pStyle w:val="35"/>
            </w:pPr>
            <w:r>
              <w:t>效益指标</w:t>
            </w:r>
          </w:p>
        </w:tc>
        <w:tc>
          <w:tcPr>
            <w:tcW w:w="2268" w:type="dxa"/>
            <w:tcBorders>
              <w:bottom w:val="single" w:color="auto" w:sz="4" w:space="0"/>
            </w:tcBorders>
            <w:vAlign w:val="center"/>
          </w:tcPr>
          <w:p>
            <w:pPr>
              <w:pStyle w:val="34"/>
            </w:pPr>
            <w:r>
              <w:rPr>
                <w:rFonts w:hint="eastAsia"/>
              </w:rPr>
              <w:t>社会效益指标</w:t>
            </w:r>
          </w:p>
        </w:tc>
        <w:tc>
          <w:tcPr>
            <w:tcW w:w="2835" w:type="dxa"/>
            <w:tcBorders>
              <w:bottom w:val="single" w:color="auto" w:sz="4" w:space="0"/>
            </w:tcBorders>
            <w:vAlign w:val="center"/>
          </w:tcPr>
          <w:p>
            <w:pPr>
              <w:pStyle w:val="34"/>
            </w:pPr>
            <w:r>
              <w:rPr>
                <w:rFonts w:hint="eastAsia"/>
              </w:rPr>
              <w:t>公共数字文化服务人次增长率</w:t>
            </w:r>
          </w:p>
        </w:tc>
        <w:tc>
          <w:tcPr>
            <w:tcW w:w="2835" w:type="dxa"/>
            <w:tcBorders>
              <w:bottom w:val="single" w:color="auto" w:sz="4" w:space="0"/>
            </w:tcBorders>
            <w:vAlign w:val="center"/>
          </w:tcPr>
          <w:p>
            <w:pPr>
              <w:pStyle w:val="34"/>
            </w:pPr>
            <w:r>
              <w:rPr>
                <w:rFonts w:hint="eastAsia"/>
              </w:rPr>
              <w:t>公共数字文化服务人次增长率</w:t>
            </w:r>
          </w:p>
        </w:tc>
        <w:tc>
          <w:tcPr>
            <w:tcW w:w="2551" w:type="dxa"/>
            <w:tcBorders>
              <w:bottom w:val="single" w:color="auto" w:sz="4" w:space="0"/>
            </w:tcBorders>
            <w:vAlign w:val="center"/>
          </w:tcPr>
          <w:p>
            <w:pPr>
              <w:pStyle w:val="34"/>
              <w:rPr>
                <w:rFonts w:hint="default" w:eastAsia="方正书宋_GBK"/>
                <w:b w:val="0"/>
                <w:bCs w:val="0"/>
                <w:lang w:val="en-US" w:eastAsia="zh-CN"/>
              </w:rPr>
            </w:pPr>
            <w:r>
              <w:rPr>
                <w:rFonts w:hint="eastAsia"/>
                <w:lang w:val="en-US" w:eastAsia="zh-CN"/>
              </w:rPr>
              <w:t>逐年增长</w:t>
            </w:r>
          </w:p>
        </w:tc>
        <w:tc>
          <w:tcPr>
            <w:tcW w:w="2268" w:type="dxa"/>
            <w:tcBorders>
              <w:bottom w:val="single" w:color="auto" w:sz="4" w:space="0"/>
            </w:tcBorders>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Merge w:val="continue"/>
            <w:vAlign w:val="center"/>
          </w:tcPr>
          <w:p>
            <w:pPr>
              <w:pStyle w:val="35"/>
            </w:pPr>
          </w:p>
        </w:tc>
        <w:tc>
          <w:tcPr>
            <w:tcW w:w="2268" w:type="dxa"/>
            <w:tcBorders>
              <w:top w:val="single" w:color="auto" w:sz="4" w:space="0"/>
            </w:tcBorders>
            <w:vAlign w:val="center"/>
          </w:tcPr>
          <w:p>
            <w:pPr>
              <w:pStyle w:val="34"/>
              <w:rPr>
                <w:rFonts w:hint="eastAsia"/>
              </w:rPr>
            </w:pPr>
            <w:r>
              <w:rPr>
                <w:rFonts w:hint="eastAsia"/>
              </w:rPr>
              <w:t>社会效益指标</w:t>
            </w:r>
          </w:p>
        </w:tc>
        <w:tc>
          <w:tcPr>
            <w:tcW w:w="2835" w:type="dxa"/>
            <w:tcBorders>
              <w:top w:val="single" w:color="auto" w:sz="4" w:space="0"/>
            </w:tcBorders>
            <w:vAlign w:val="center"/>
          </w:tcPr>
          <w:p>
            <w:pPr>
              <w:pStyle w:val="34"/>
              <w:rPr>
                <w:rFonts w:hint="eastAsia"/>
              </w:rPr>
            </w:pPr>
            <w:r>
              <w:rPr>
                <w:rFonts w:hint="eastAsia"/>
              </w:rPr>
              <w:t>群众文化活动参与人次增长率</w:t>
            </w:r>
          </w:p>
        </w:tc>
        <w:tc>
          <w:tcPr>
            <w:tcW w:w="2835" w:type="dxa"/>
            <w:tcBorders>
              <w:top w:val="single" w:color="auto" w:sz="4" w:space="0"/>
            </w:tcBorders>
            <w:vAlign w:val="center"/>
          </w:tcPr>
          <w:p>
            <w:pPr>
              <w:pStyle w:val="34"/>
              <w:rPr>
                <w:rFonts w:hint="eastAsia"/>
              </w:rPr>
            </w:pPr>
            <w:r>
              <w:rPr>
                <w:rFonts w:hint="eastAsia"/>
              </w:rPr>
              <w:t>群众文化活动参与人次增长率</w:t>
            </w:r>
          </w:p>
        </w:tc>
        <w:tc>
          <w:tcPr>
            <w:tcW w:w="2551" w:type="dxa"/>
            <w:tcBorders>
              <w:top w:val="single" w:color="auto" w:sz="4" w:space="0"/>
            </w:tcBorders>
            <w:vAlign w:val="center"/>
          </w:tcPr>
          <w:p>
            <w:pPr>
              <w:pStyle w:val="34"/>
              <w:rPr>
                <w:rFonts w:hint="eastAsia"/>
                <w:lang w:val="en-US" w:eastAsia="zh-CN"/>
              </w:rPr>
            </w:pPr>
            <w:r>
              <w:rPr>
                <w:rFonts w:hint="eastAsia"/>
                <w:lang w:val="en-US" w:eastAsia="zh-CN"/>
              </w:rPr>
              <w:t>逐年增长</w:t>
            </w:r>
          </w:p>
        </w:tc>
        <w:tc>
          <w:tcPr>
            <w:tcW w:w="2268" w:type="dxa"/>
            <w:tcBorders>
              <w:top w:val="single" w:color="auto" w:sz="4" w:space="0"/>
            </w:tcBorders>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rPr>
                <w:rFonts w:hint="eastAsia"/>
              </w:rPr>
              <w:t>群众对国家基本公共文化服务满意度</w:t>
            </w:r>
          </w:p>
        </w:tc>
        <w:tc>
          <w:tcPr>
            <w:tcW w:w="2835" w:type="dxa"/>
            <w:vAlign w:val="center"/>
          </w:tcPr>
          <w:p>
            <w:pPr>
              <w:pStyle w:val="34"/>
            </w:pPr>
            <w:r>
              <w:rPr>
                <w:rFonts w:hint="eastAsia"/>
              </w:rPr>
              <w:t>群众对国家基本公共文化服务满意度</w:t>
            </w:r>
          </w:p>
        </w:tc>
        <w:tc>
          <w:tcPr>
            <w:tcW w:w="2551" w:type="dxa"/>
            <w:vAlign w:val="center"/>
          </w:tcPr>
          <w:p>
            <w:pPr>
              <w:pStyle w:val="34"/>
            </w:pPr>
            <w:r>
              <w:t>≥9</w:t>
            </w:r>
            <w:r>
              <w:rPr>
                <w:rFonts w:hint="eastAsia"/>
                <w:lang w:val="en-US" w:eastAsia="zh-CN"/>
              </w:rPr>
              <w:t>0</w:t>
            </w:r>
            <w:r>
              <w:t>%</w:t>
            </w:r>
          </w:p>
        </w:tc>
        <w:tc>
          <w:tcPr>
            <w:tcW w:w="2268" w:type="dxa"/>
            <w:vAlign w:val="center"/>
          </w:tcPr>
          <w:p>
            <w:pPr>
              <w:pStyle w:val="34"/>
            </w:pPr>
            <w:r>
              <w:t>满意度调查</w:t>
            </w:r>
          </w:p>
        </w:tc>
      </w:tr>
    </w:tbl>
    <w:p>
      <w:pPr>
        <w:pStyle w:val="32"/>
      </w:pPr>
    </w:p>
    <w:p>
      <w:pPr>
        <w:pStyle w:val="32"/>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中央非物质文化遗产保护资金</w:t>
      </w: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rPr>
                <w:b w:val="0"/>
                <w:bCs w:val="0"/>
              </w:rPr>
            </w:pPr>
            <w:r>
              <w:rPr>
                <w:rFonts w:hint="eastAsia"/>
              </w:rPr>
              <w:t>传承培育队伍，排演民间故事，展示推广，在非遗日开展非遗进乡村进校园公益演出活动</w:t>
            </w:r>
          </w:p>
        </w:tc>
      </w:tr>
    </w:tbl>
    <w:p>
      <w:pPr>
        <w:pStyle w:val="32"/>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rPr>
                <w:rFonts w:hint="eastAsia"/>
              </w:rPr>
              <w:t>开展记录保护，拍摄、制作演出视频等档案资料数量</w:t>
            </w:r>
          </w:p>
        </w:tc>
        <w:tc>
          <w:tcPr>
            <w:tcW w:w="2835" w:type="dxa"/>
            <w:vAlign w:val="center"/>
          </w:tcPr>
          <w:p>
            <w:pPr>
              <w:pStyle w:val="34"/>
            </w:pPr>
            <w:r>
              <w:rPr>
                <w:rFonts w:hint="eastAsia"/>
              </w:rPr>
              <w:t>开展记录保护，拍摄、制作演出视频等档案资料数量</w:t>
            </w:r>
          </w:p>
        </w:tc>
        <w:tc>
          <w:tcPr>
            <w:tcW w:w="2551" w:type="dxa"/>
            <w:vAlign w:val="center"/>
          </w:tcPr>
          <w:p>
            <w:pPr>
              <w:pStyle w:val="34"/>
            </w:pPr>
            <w:r>
              <w:rPr>
                <w:rFonts w:hint="eastAsia"/>
                <w:lang w:val="en-US" w:eastAsia="zh-CN"/>
              </w:rPr>
              <w:t>＝8</w:t>
            </w:r>
            <w:r>
              <w:t>次</w:t>
            </w:r>
          </w:p>
        </w:tc>
        <w:tc>
          <w:tcPr>
            <w:tcW w:w="2268" w:type="dxa"/>
            <w:vAlign w:val="center"/>
          </w:tcPr>
          <w:p>
            <w:pPr>
              <w:pStyle w:val="34"/>
              <w:rPr>
                <w:rFonts w:hint="default"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pPr>
            <w:r>
              <w:t>数量指标</w:t>
            </w:r>
          </w:p>
        </w:tc>
        <w:tc>
          <w:tcPr>
            <w:tcW w:w="2835" w:type="dxa"/>
            <w:vAlign w:val="center"/>
          </w:tcPr>
          <w:p>
            <w:pPr>
              <w:pStyle w:val="34"/>
            </w:pPr>
            <w:r>
              <w:rPr>
                <w:rFonts w:hint="eastAsia"/>
              </w:rPr>
              <w:t>开展推广活动，进校园进乡村公益演出活动天数</w:t>
            </w:r>
          </w:p>
        </w:tc>
        <w:tc>
          <w:tcPr>
            <w:tcW w:w="2835" w:type="dxa"/>
            <w:vAlign w:val="center"/>
          </w:tcPr>
          <w:p>
            <w:pPr>
              <w:pStyle w:val="34"/>
            </w:pPr>
            <w:r>
              <w:rPr>
                <w:rFonts w:hint="eastAsia"/>
              </w:rPr>
              <w:t>开展推广活动，进校园进乡村公益演出活动天数</w:t>
            </w:r>
          </w:p>
        </w:tc>
        <w:tc>
          <w:tcPr>
            <w:tcW w:w="2551" w:type="dxa"/>
            <w:vAlign w:val="center"/>
          </w:tcPr>
          <w:p>
            <w:pPr>
              <w:pStyle w:val="34"/>
              <w:rPr>
                <w:rFonts w:hint="default" w:eastAsia="方正书宋_GBK"/>
                <w:lang w:val="en-US" w:eastAsia="zh-CN"/>
              </w:rPr>
            </w:pPr>
            <w:r>
              <w:rPr>
                <w:rFonts w:hint="eastAsia"/>
                <w:lang w:val="en-US" w:eastAsia="zh-CN"/>
              </w:rPr>
              <w:t>＝8天</w:t>
            </w:r>
          </w:p>
        </w:tc>
        <w:tc>
          <w:tcPr>
            <w:tcW w:w="2268" w:type="dxa"/>
            <w:vAlign w:val="center"/>
          </w:tcPr>
          <w:p>
            <w:pPr>
              <w:pStyle w:val="34"/>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pPr>
            <w:r>
              <w:rPr>
                <w:rFonts w:hint="eastAsia"/>
              </w:rPr>
              <w:t>数量指标</w:t>
            </w:r>
          </w:p>
        </w:tc>
        <w:tc>
          <w:tcPr>
            <w:tcW w:w="2835" w:type="dxa"/>
            <w:vAlign w:val="center"/>
          </w:tcPr>
          <w:p>
            <w:pPr>
              <w:pStyle w:val="34"/>
            </w:pPr>
            <w:r>
              <w:rPr>
                <w:rFonts w:hint="eastAsia"/>
              </w:rPr>
              <w:t>举办非遗培训班期数</w:t>
            </w:r>
          </w:p>
        </w:tc>
        <w:tc>
          <w:tcPr>
            <w:tcW w:w="2835" w:type="dxa"/>
            <w:vAlign w:val="center"/>
          </w:tcPr>
          <w:p>
            <w:pPr>
              <w:pStyle w:val="34"/>
            </w:pPr>
            <w:r>
              <w:rPr>
                <w:rFonts w:hint="eastAsia"/>
              </w:rPr>
              <w:t>举办非遗培训班期数</w:t>
            </w:r>
          </w:p>
        </w:tc>
        <w:tc>
          <w:tcPr>
            <w:tcW w:w="2551" w:type="dxa"/>
            <w:vAlign w:val="center"/>
          </w:tcPr>
          <w:p>
            <w:pPr>
              <w:pStyle w:val="34"/>
              <w:rPr>
                <w:rFonts w:hint="default"/>
                <w:lang w:val="en-US"/>
              </w:rPr>
            </w:pPr>
            <w:r>
              <w:rPr>
                <w:rFonts w:hint="eastAsia"/>
                <w:lang w:val="en-US" w:eastAsia="zh-CN"/>
              </w:rPr>
              <w:t>＝6期</w:t>
            </w:r>
          </w:p>
        </w:tc>
        <w:tc>
          <w:tcPr>
            <w:tcW w:w="2268" w:type="dxa"/>
            <w:vAlign w:val="center"/>
          </w:tcPr>
          <w:p>
            <w:pPr>
              <w:pStyle w:val="34"/>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417" w:type="dxa"/>
            <w:vMerge w:val="continue"/>
            <w:vAlign w:val="center"/>
          </w:tcPr>
          <w:p>
            <w:pPr>
              <w:pStyle w:val="32"/>
            </w:pPr>
          </w:p>
        </w:tc>
        <w:tc>
          <w:tcPr>
            <w:tcW w:w="2268" w:type="dxa"/>
            <w:tcBorders>
              <w:bottom w:val="single" w:color="auto" w:sz="4" w:space="0"/>
            </w:tcBorders>
            <w:vAlign w:val="center"/>
          </w:tcPr>
          <w:p>
            <w:pPr>
              <w:pStyle w:val="34"/>
            </w:pPr>
            <w:r>
              <w:rPr>
                <w:rFonts w:hint="eastAsia"/>
              </w:rPr>
              <w:t>质量指标</w:t>
            </w:r>
          </w:p>
        </w:tc>
        <w:tc>
          <w:tcPr>
            <w:tcW w:w="2835" w:type="dxa"/>
            <w:tcBorders>
              <w:bottom w:val="single" w:color="auto" w:sz="4" w:space="0"/>
            </w:tcBorders>
            <w:vAlign w:val="center"/>
          </w:tcPr>
          <w:p>
            <w:pPr>
              <w:pStyle w:val="34"/>
            </w:pPr>
            <w:r>
              <w:rPr>
                <w:rFonts w:hint="eastAsia"/>
              </w:rPr>
              <w:t>组织传承队伍培训、排练在非遗日开展社会宣传</w:t>
            </w:r>
          </w:p>
        </w:tc>
        <w:tc>
          <w:tcPr>
            <w:tcW w:w="2835" w:type="dxa"/>
            <w:tcBorders>
              <w:bottom w:val="single" w:color="auto" w:sz="4" w:space="0"/>
            </w:tcBorders>
            <w:vAlign w:val="center"/>
          </w:tcPr>
          <w:p>
            <w:pPr>
              <w:pStyle w:val="34"/>
            </w:pPr>
            <w:r>
              <w:rPr>
                <w:rFonts w:hint="eastAsia"/>
              </w:rPr>
              <w:t>组织传承队伍培训、排练在非遗日开展社会宣传</w:t>
            </w:r>
          </w:p>
        </w:tc>
        <w:tc>
          <w:tcPr>
            <w:tcW w:w="2551" w:type="dxa"/>
            <w:tcBorders>
              <w:bottom w:val="single" w:color="auto" w:sz="4" w:space="0"/>
            </w:tcBorders>
            <w:vAlign w:val="center"/>
          </w:tcPr>
          <w:p>
            <w:pPr>
              <w:pStyle w:val="34"/>
            </w:pPr>
            <w:r>
              <w:rPr>
                <w:rFonts w:hint="eastAsia"/>
              </w:rPr>
              <w:t>广泛宣传</w:t>
            </w:r>
          </w:p>
        </w:tc>
        <w:tc>
          <w:tcPr>
            <w:tcW w:w="2268" w:type="dxa"/>
            <w:tcBorders>
              <w:bottom w:val="single" w:color="auto" w:sz="4" w:space="0"/>
            </w:tcBorders>
            <w:vAlign w:val="center"/>
          </w:tcPr>
          <w:p>
            <w:pPr>
              <w:pStyle w:val="34"/>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17" w:type="dxa"/>
            <w:vMerge w:val="continue"/>
            <w:vAlign w:val="center"/>
          </w:tcPr>
          <w:p>
            <w:pPr>
              <w:pStyle w:val="32"/>
            </w:pPr>
          </w:p>
        </w:tc>
        <w:tc>
          <w:tcPr>
            <w:tcW w:w="2268" w:type="dxa"/>
            <w:tcBorders>
              <w:top w:val="single" w:color="auto" w:sz="4" w:space="0"/>
            </w:tcBorders>
            <w:vAlign w:val="center"/>
          </w:tcPr>
          <w:p>
            <w:pPr>
              <w:pStyle w:val="34"/>
            </w:pPr>
            <w:r>
              <w:rPr>
                <w:rFonts w:hint="eastAsia"/>
              </w:rPr>
              <w:t>时效指标</w:t>
            </w:r>
          </w:p>
        </w:tc>
        <w:tc>
          <w:tcPr>
            <w:tcW w:w="2835" w:type="dxa"/>
            <w:tcBorders>
              <w:top w:val="single" w:color="auto" w:sz="4" w:space="0"/>
            </w:tcBorders>
            <w:vAlign w:val="center"/>
          </w:tcPr>
          <w:p>
            <w:pPr>
              <w:pStyle w:val="34"/>
            </w:pPr>
            <w:r>
              <w:rPr>
                <w:rFonts w:hint="eastAsia"/>
              </w:rPr>
              <w:t>开展传承、保护、推广、展示活动</w:t>
            </w:r>
          </w:p>
        </w:tc>
        <w:tc>
          <w:tcPr>
            <w:tcW w:w="2835" w:type="dxa"/>
            <w:tcBorders>
              <w:top w:val="single" w:color="auto" w:sz="4" w:space="0"/>
            </w:tcBorders>
            <w:vAlign w:val="center"/>
          </w:tcPr>
          <w:p>
            <w:pPr>
              <w:pStyle w:val="34"/>
            </w:pPr>
            <w:r>
              <w:rPr>
                <w:rFonts w:hint="eastAsia"/>
              </w:rPr>
              <w:t>开展传承、保护、推广、展示活动</w:t>
            </w:r>
          </w:p>
        </w:tc>
        <w:tc>
          <w:tcPr>
            <w:tcW w:w="2551" w:type="dxa"/>
            <w:tcBorders>
              <w:top w:val="single" w:color="auto" w:sz="4" w:space="0"/>
            </w:tcBorders>
            <w:vAlign w:val="center"/>
          </w:tcPr>
          <w:p>
            <w:pPr>
              <w:pStyle w:val="34"/>
            </w:pPr>
            <w:r>
              <w:rPr>
                <w:rFonts w:hint="eastAsia"/>
              </w:rPr>
              <w:t>2022年年底完成</w:t>
            </w:r>
          </w:p>
        </w:tc>
        <w:tc>
          <w:tcPr>
            <w:tcW w:w="2268" w:type="dxa"/>
            <w:tcBorders>
              <w:top w:val="single" w:color="auto" w:sz="4" w:space="0"/>
            </w:tcBorders>
            <w:vAlign w:val="center"/>
          </w:tcPr>
          <w:p>
            <w:pPr>
              <w:pStyle w:val="34"/>
              <w:rPr>
                <w:b/>
                <w:bCs/>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1417" w:type="dxa"/>
            <w:vMerge w:val="restart"/>
            <w:vAlign w:val="center"/>
          </w:tcPr>
          <w:p>
            <w:pPr>
              <w:pStyle w:val="35"/>
            </w:pPr>
            <w:r>
              <w:t>效益指标</w:t>
            </w:r>
          </w:p>
        </w:tc>
        <w:tc>
          <w:tcPr>
            <w:tcW w:w="2268" w:type="dxa"/>
            <w:tcBorders>
              <w:bottom w:val="single" w:color="auto" w:sz="4" w:space="0"/>
            </w:tcBorders>
            <w:vAlign w:val="center"/>
          </w:tcPr>
          <w:p>
            <w:pPr>
              <w:pStyle w:val="34"/>
            </w:pPr>
            <w:r>
              <w:t>社会效益指标</w:t>
            </w:r>
          </w:p>
        </w:tc>
        <w:tc>
          <w:tcPr>
            <w:tcW w:w="2835" w:type="dxa"/>
            <w:tcBorders>
              <w:bottom w:val="single" w:color="auto" w:sz="4" w:space="0"/>
            </w:tcBorders>
            <w:vAlign w:val="center"/>
          </w:tcPr>
          <w:p>
            <w:pPr>
              <w:pStyle w:val="34"/>
            </w:pPr>
            <w:r>
              <w:rPr>
                <w:rFonts w:hint="eastAsia"/>
              </w:rPr>
              <w:t>构建优秀传统文化传承载体，培育文化生态</w:t>
            </w:r>
          </w:p>
        </w:tc>
        <w:tc>
          <w:tcPr>
            <w:tcW w:w="2835" w:type="dxa"/>
            <w:tcBorders>
              <w:bottom w:val="single" w:color="auto" w:sz="4" w:space="0"/>
            </w:tcBorders>
            <w:vAlign w:val="center"/>
          </w:tcPr>
          <w:p>
            <w:pPr>
              <w:pStyle w:val="34"/>
            </w:pPr>
            <w:r>
              <w:rPr>
                <w:rFonts w:hint="eastAsia"/>
              </w:rPr>
              <w:t>构建优秀传统文化传承载体，培育文化生态</w:t>
            </w:r>
          </w:p>
        </w:tc>
        <w:tc>
          <w:tcPr>
            <w:tcW w:w="2551" w:type="dxa"/>
            <w:tcBorders>
              <w:bottom w:val="single" w:color="auto" w:sz="4" w:space="0"/>
            </w:tcBorders>
            <w:vAlign w:val="center"/>
          </w:tcPr>
          <w:p>
            <w:pPr>
              <w:pStyle w:val="34"/>
              <w:rPr>
                <w:rFonts w:hint="default" w:eastAsia="方正书宋_GBK"/>
                <w:lang w:val="en-US" w:eastAsia="zh-CN"/>
              </w:rPr>
            </w:pPr>
            <w:r>
              <w:rPr>
                <w:rFonts w:hint="eastAsia"/>
                <w:lang w:val="en-US" w:eastAsia="zh-CN"/>
              </w:rPr>
              <w:t>长期构建</w:t>
            </w:r>
          </w:p>
        </w:tc>
        <w:tc>
          <w:tcPr>
            <w:tcW w:w="2268" w:type="dxa"/>
            <w:tcBorders>
              <w:bottom w:val="single" w:color="auto" w:sz="4" w:space="0"/>
            </w:tcBorders>
            <w:vAlign w:val="center"/>
          </w:tcPr>
          <w:p>
            <w:pPr>
              <w:pStyle w:val="34"/>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17" w:type="dxa"/>
            <w:vMerge w:val="continue"/>
            <w:vAlign w:val="center"/>
          </w:tcPr>
          <w:p>
            <w:pPr>
              <w:pStyle w:val="35"/>
            </w:pPr>
          </w:p>
        </w:tc>
        <w:tc>
          <w:tcPr>
            <w:tcW w:w="2268" w:type="dxa"/>
            <w:tcBorders>
              <w:top w:val="single" w:color="auto" w:sz="4" w:space="0"/>
            </w:tcBorders>
            <w:vAlign w:val="center"/>
          </w:tcPr>
          <w:p>
            <w:pPr>
              <w:pStyle w:val="34"/>
            </w:pPr>
            <w:r>
              <w:rPr>
                <w:rFonts w:hint="eastAsia"/>
              </w:rPr>
              <w:t>可持续影响指标</w:t>
            </w:r>
          </w:p>
        </w:tc>
        <w:tc>
          <w:tcPr>
            <w:tcW w:w="2835" w:type="dxa"/>
            <w:tcBorders>
              <w:top w:val="single" w:color="auto" w:sz="4" w:space="0"/>
            </w:tcBorders>
            <w:vAlign w:val="center"/>
          </w:tcPr>
          <w:p>
            <w:pPr>
              <w:pStyle w:val="34"/>
            </w:pPr>
            <w:r>
              <w:rPr>
                <w:rFonts w:hint="eastAsia"/>
              </w:rPr>
              <w:t>对增强非遗保护传承氛围的影响</w:t>
            </w:r>
          </w:p>
        </w:tc>
        <w:tc>
          <w:tcPr>
            <w:tcW w:w="2835" w:type="dxa"/>
            <w:tcBorders>
              <w:top w:val="single" w:color="auto" w:sz="4" w:space="0"/>
            </w:tcBorders>
            <w:vAlign w:val="center"/>
          </w:tcPr>
          <w:p>
            <w:pPr>
              <w:pStyle w:val="34"/>
            </w:pPr>
            <w:r>
              <w:rPr>
                <w:rFonts w:hint="eastAsia"/>
              </w:rPr>
              <w:t>对增强非遗保护传承氛围的影响</w:t>
            </w:r>
          </w:p>
        </w:tc>
        <w:tc>
          <w:tcPr>
            <w:tcW w:w="2551" w:type="dxa"/>
            <w:tcBorders>
              <w:top w:val="single" w:color="auto" w:sz="4" w:space="0"/>
            </w:tcBorders>
            <w:vAlign w:val="center"/>
          </w:tcPr>
          <w:p>
            <w:pPr>
              <w:pStyle w:val="34"/>
              <w:rPr>
                <w:rFonts w:hint="eastAsia" w:eastAsia="方正书宋_GBK"/>
                <w:lang w:val="en-US" w:eastAsia="zh-CN"/>
              </w:rPr>
            </w:pPr>
            <w:r>
              <w:rPr>
                <w:rFonts w:hint="eastAsia"/>
                <w:lang w:val="en-US" w:eastAsia="zh-CN"/>
              </w:rPr>
              <w:t>长期</w:t>
            </w:r>
          </w:p>
        </w:tc>
        <w:tc>
          <w:tcPr>
            <w:tcW w:w="2268" w:type="dxa"/>
            <w:tcBorders>
              <w:top w:val="single" w:color="auto" w:sz="4" w:space="0"/>
            </w:tcBorders>
            <w:vAlign w:val="center"/>
          </w:tcPr>
          <w:p>
            <w:pPr>
              <w:pStyle w:val="34"/>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rPr>
                <w:rFonts w:hint="eastAsia"/>
              </w:rPr>
              <w:t>人民群众满意度</w:t>
            </w:r>
          </w:p>
        </w:tc>
        <w:tc>
          <w:tcPr>
            <w:tcW w:w="2835" w:type="dxa"/>
            <w:vAlign w:val="center"/>
          </w:tcPr>
          <w:p>
            <w:pPr>
              <w:pStyle w:val="34"/>
            </w:pPr>
            <w:r>
              <w:rPr>
                <w:rFonts w:hint="eastAsia"/>
              </w:rPr>
              <w:t>人民群众满意度</w:t>
            </w:r>
          </w:p>
        </w:tc>
        <w:tc>
          <w:tcPr>
            <w:tcW w:w="2551" w:type="dxa"/>
            <w:vAlign w:val="center"/>
          </w:tcPr>
          <w:p>
            <w:pPr>
              <w:pStyle w:val="34"/>
            </w:pPr>
            <w:r>
              <w:t>≥9</w:t>
            </w:r>
            <w:r>
              <w:rPr>
                <w:rFonts w:hint="eastAsia"/>
                <w:lang w:val="en-US" w:eastAsia="zh-CN"/>
              </w:rPr>
              <w:t>0</w:t>
            </w:r>
            <w:r>
              <w:t>%</w:t>
            </w:r>
          </w:p>
        </w:tc>
        <w:tc>
          <w:tcPr>
            <w:tcW w:w="2268" w:type="dxa"/>
            <w:vAlign w:val="center"/>
          </w:tcPr>
          <w:p>
            <w:pPr>
              <w:pStyle w:val="34"/>
            </w:pPr>
            <w:r>
              <w:t>满意度测评</w:t>
            </w:r>
          </w:p>
        </w:tc>
      </w:tr>
    </w:tbl>
    <w:p>
      <w:pPr>
        <w:pStyle w:val="32"/>
      </w:pPr>
    </w:p>
    <w:p>
      <w:pPr>
        <w:pStyle w:val="32"/>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省级非物质文化遗产保护专项资金</w:t>
      </w: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rPr>
                <w:rFonts w:hint="eastAsia"/>
              </w:rPr>
              <w:t>对省级代表性传承人进行补助，省级传承人开展传习活动，推动非遗传承保护</w:t>
            </w:r>
          </w:p>
        </w:tc>
      </w:tr>
    </w:tbl>
    <w:p>
      <w:pPr>
        <w:pStyle w:val="32"/>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rPr>
                <w:rFonts w:hint="eastAsia"/>
              </w:rPr>
              <w:t>补助代表性传承人活动人数</w:t>
            </w:r>
          </w:p>
        </w:tc>
        <w:tc>
          <w:tcPr>
            <w:tcW w:w="2835" w:type="dxa"/>
            <w:vAlign w:val="center"/>
          </w:tcPr>
          <w:p>
            <w:pPr>
              <w:pStyle w:val="34"/>
            </w:pPr>
            <w:r>
              <w:rPr>
                <w:rFonts w:hint="eastAsia"/>
              </w:rPr>
              <w:t>补助代表性传承人活动人数</w:t>
            </w:r>
          </w:p>
        </w:tc>
        <w:tc>
          <w:tcPr>
            <w:tcW w:w="2551" w:type="dxa"/>
            <w:vAlign w:val="center"/>
          </w:tcPr>
          <w:p>
            <w:pPr>
              <w:pStyle w:val="34"/>
              <w:rPr>
                <w:rFonts w:hint="default" w:eastAsia="方正书宋_GBK"/>
                <w:lang w:val="en-US" w:eastAsia="zh-CN"/>
              </w:rPr>
            </w:pPr>
            <w:r>
              <w:rPr>
                <w:rFonts w:hint="eastAsia"/>
                <w:lang w:val="en-US" w:eastAsia="zh-CN"/>
              </w:rPr>
              <w:t>＝2人</w:t>
            </w:r>
          </w:p>
        </w:tc>
        <w:tc>
          <w:tcPr>
            <w:tcW w:w="2268" w:type="dxa"/>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pPr>
            <w:r>
              <w:rPr>
                <w:rFonts w:hint="eastAsia"/>
                <w:lang w:val="en-US" w:eastAsia="zh-CN"/>
              </w:rPr>
              <w:t>数</w:t>
            </w:r>
            <w:r>
              <w:t>量指标</w:t>
            </w:r>
          </w:p>
        </w:tc>
        <w:tc>
          <w:tcPr>
            <w:tcW w:w="2835" w:type="dxa"/>
            <w:vAlign w:val="center"/>
          </w:tcPr>
          <w:p>
            <w:pPr>
              <w:pStyle w:val="34"/>
            </w:pPr>
            <w:r>
              <w:rPr>
                <w:rFonts w:hint="eastAsia"/>
              </w:rPr>
              <w:t>非遗传承展示推广活动数</w:t>
            </w:r>
          </w:p>
        </w:tc>
        <w:tc>
          <w:tcPr>
            <w:tcW w:w="2835" w:type="dxa"/>
            <w:vAlign w:val="center"/>
          </w:tcPr>
          <w:p>
            <w:pPr>
              <w:pStyle w:val="34"/>
            </w:pPr>
            <w:r>
              <w:rPr>
                <w:rFonts w:hint="eastAsia"/>
              </w:rPr>
              <w:t>非遗传承展示推广活动数</w:t>
            </w:r>
          </w:p>
        </w:tc>
        <w:tc>
          <w:tcPr>
            <w:tcW w:w="2551" w:type="dxa"/>
            <w:vAlign w:val="center"/>
          </w:tcPr>
          <w:p>
            <w:pPr>
              <w:pStyle w:val="34"/>
              <w:rPr>
                <w:rFonts w:hint="default" w:eastAsia="方正书宋_GBK"/>
                <w:lang w:val="en-US" w:eastAsia="zh-CN"/>
              </w:rPr>
            </w:pPr>
            <w:r>
              <w:rPr>
                <w:rFonts w:hint="eastAsia"/>
                <w:lang w:val="en-US" w:eastAsia="zh-CN"/>
              </w:rPr>
              <w:t>≥5次</w:t>
            </w:r>
          </w:p>
        </w:tc>
        <w:tc>
          <w:tcPr>
            <w:tcW w:w="2268" w:type="dxa"/>
            <w:vAlign w:val="center"/>
          </w:tcPr>
          <w:p>
            <w:pPr>
              <w:pStyle w:val="34"/>
              <w:rPr>
                <w:rFonts w:hint="eastAsia" w:eastAsia="方正书宋_GBK"/>
                <w:lang w:eastAsia="zh-CN"/>
              </w:rPr>
            </w:pPr>
            <w:r>
              <w:t>工作</w:t>
            </w:r>
            <w:r>
              <w:rPr>
                <w:rFonts w:hint="eastAsia"/>
                <w:lang w:val="en-US" w:eastAsia="zh-CN"/>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pPr>
            <w:r>
              <w:t>质量指标</w:t>
            </w:r>
          </w:p>
        </w:tc>
        <w:tc>
          <w:tcPr>
            <w:tcW w:w="2835" w:type="dxa"/>
            <w:vAlign w:val="center"/>
          </w:tcPr>
          <w:p>
            <w:pPr>
              <w:pStyle w:val="34"/>
            </w:pPr>
            <w:r>
              <w:rPr>
                <w:rFonts w:hint="eastAsia"/>
              </w:rPr>
              <w:t>非遗展示推广活动受众人数</w:t>
            </w:r>
          </w:p>
        </w:tc>
        <w:tc>
          <w:tcPr>
            <w:tcW w:w="2835" w:type="dxa"/>
            <w:vAlign w:val="center"/>
          </w:tcPr>
          <w:p>
            <w:pPr>
              <w:pStyle w:val="34"/>
            </w:pPr>
            <w:r>
              <w:rPr>
                <w:rFonts w:hint="eastAsia"/>
              </w:rPr>
              <w:t>非遗展示推广活动受众人数</w:t>
            </w:r>
          </w:p>
        </w:tc>
        <w:tc>
          <w:tcPr>
            <w:tcW w:w="2551" w:type="dxa"/>
            <w:vAlign w:val="center"/>
          </w:tcPr>
          <w:p>
            <w:pPr>
              <w:pStyle w:val="34"/>
              <w:rPr>
                <w:rFonts w:hint="default" w:eastAsia="方正书宋_GBK"/>
                <w:lang w:val="en-US" w:eastAsia="zh-CN"/>
              </w:rPr>
            </w:pPr>
            <w:r>
              <w:rPr>
                <w:rFonts w:hint="eastAsia"/>
                <w:lang w:val="en-US" w:eastAsia="zh-CN"/>
              </w:rPr>
              <w:t>≥500人</w:t>
            </w:r>
          </w:p>
        </w:tc>
        <w:tc>
          <w:tcPr>
            <w:tcW w:w="2268" w:type="dxa"/>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pPr>
            <w:r>
              <w:t>质量指标</w:t>
            </w:r>
          </w:p>
        </w:tc>
        <w:tc>
          <w:tcPr>
            <w:tcW w:w="2835" w:type="dxa"/>
            <w:vAlign w:val="center"/>
          </w:tcPr>
          <w:p>
            <w:pPr>
              <w:pStyle w:val="34"/>
            </w:pPr>
            <w:r>
              <w:rPr>
                <w:rFonts w:hint="eastAsia"/>
              </w:rPr>
              <w:t>传习人补助发放到位率</w:t>
            </w:r>
          </w:p>
        </w:tc>
        <w:tc>
          <w:tcPr>
            <w:tcW w:w="2835" w:type="dxa"/>
            <w:vAlign w:val="center"/>
          </w:tcPr>
          <w:p>
            <w:pPr>
              <w:pStyle w:val="34"/>
            </w:pPr>
            <w:r>
              <w:rPr>
                <w:rFonts w:hint="eastAsia"/>
              </w:rPr>
              <w:t>传习人补助发放到位率</w:t>
            </w:r>
          </w:p>
        </w:tc>
        <w:tc>
          <w:tcPr>
            <w:tcW w:w="2551" w:type="dxa"/>
            <w:vAlign w:val="center"/>
          </w:tcPr>
          <w:p>
            <w:pPr>
              <w:pStyle w:val="34"/>
              <w:rPr>
                <w:rFonts w:hint="eastAsia" w:eastAsia="方正书宋_GBK"/>
                <w:lang w:eastAsia="zh-CN"/>
              </w:rPr>
            </w:pPr>
            <w:r>
              <w:rPr>
                <w:rFonts w:hint="eastAsia"/>
                <w:lang w:val="en-US" w:eastAsia="zh-CN"/>
              </w:rPr>
              <w:t>≥95%</w:t>
            </w:r>
          </w:p>
        </w:tc>
        <w:tc>
          <w:tcPr>
            <w:tcW w:w="2268" w:type="dxa"/>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417" w:type="dxa"/>
            <w:vMerge w:val="restart"/>
            <w:vAlign w:val="center"/>
          </w:tcPr>
          <w:p>
            <w:pPr>
              <w:pStyle w:val="35"/>
            </w:pPr>
            <w:r>
              <w:t>效益指标</w:t>
            </w:r>
          </w:p>
        </w:tc>
        <w:tc>
          <w:tcPr>
            <w:tcW w:w="2268" w:type="dxa"/>
            <w:tcBorders>
              <w:bottom w:val="single" w:color="auto" w:sz="4" w:space="0"/>
            </w:tcBorders>
            <w:vAlign w:val="center"/>
          </w:tcPr>
          <w:p>
            <w:pPr>
              <w:pStyle w:val="34"/>
            </w:pPr>
            <w:r>
              <w:t>社会效益指标</w:t>
            </w:r>
          </w:p>
        </w:tc>
        <w:tc>
          <w:tcPr>
            <w:tcW w:w="2835" w:type="dxa"/>
            <w:tcBorders>
              <w:bottom w:val="single" w:color="auto" w:sz="4" w:space="0"/>
            </w:tcBorders>
            <w:vAlign w:val="center"/>
          </w:tcPr>
          <w:p>
            <w:pPr>
              <w:pStyle w:val="34"/>
            </w:pPr>
            <w:r>
              <w:rPr>
                <w:rFonts w:hint="eastAsia"/>
              </w:rPr>
              <w:t>对中华优秀传统文化传承影响</w:t>
            </w:r>
          </w:p>
        </w:tc>
        <w:tc>
          <w:tcPr>
            <w:tcW w:w="2835" w:type="dxa"/>
            <w:tcBorders>
              <w:bottom w:val="single" w:color="auto" w:sz="4" w:space="0"/>
            </w:tcBorders>
            <w:vAlign w:val="center"/>
          </w:tcPr>
          <w:p>
            <w:pPr>
              <w:pStyle w:val="34"/>
              <w:rPr>
                <w:b/>
                <w:bCs/>
              </w:rPr>
            </w:pPr>
            <w:r>
              <w:rPr>
                <w:rFonts w:hint="eastAsia"/>
              </w:rPr>
              <w:t>对中华优秀传统文化传承影响</w:t>
            </w:r>
          </w:p>
        </w:tc>
        <w:tc>
          <w:tcPr>
            <w:tcW w:w="2551" w:type="dxa"/>
            <w:tcBorders>
              <w:bottom w:val="single" w:color="auto" w:sz="4" w:space="0"/>
            </w:tcBorders>
            <w:vAlign w:val="center"/>
          </w:tcPr>
          <w:p>
            <w:pPr>
              <w:pStyle w:val="34"/>
              <w:rPr>
                <w:rFonts w:hint="eastAsia" w:eastAsia="方正书宋_GBK"/>
                <w:lang w:val="en-US" w:eastAsia="zh-CN"/>
              </w:rPr>
            </w:pPr>
            <w:r>
              <w:rPr>
                <w:rFonts w:hint="eastAsia"/>
                <w:lang w:val="en-US" w:eastAsia="zh-CN"/>
              </w:rPr>
              <w:t>显著</w:t>
            </w:r>
          </w:p>
        </w:tc>
        <w:tc>
          <w:tcPr>
            <w:tcW w:w="2268" w:type="dxa"/>
            <w:tcBorders>
              <w:bottom w:val="single" w:color="auto" w:sz="4" w:space="0"/>
            </w:tcBorders>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 w:hRule="atLeast"/>
          <w:jc w:val="center"/>
        </w:trPr>
        <w:tc>
          <w:tcPr>
            <w:tcW w:w="1417" w:type="dxa"/>
            <w:vMerge w:val="continue"/>
            <w:vAlign w:val="center"/>
          </w:tcPr>
          <w:p>
            <w:pPr>
              <w:pStyle w:val="35"/>
            </w:pPr>
          </w:p>
        </w:tc>
        <w:tc>
          <w:tcPr>
            <w:tcW w:w="2268" w:type="dxa"/>
            <w:tcBorders>
              <w:top w:val="single" w:color="auto" w:sz="4" w:space="0"/>
            </w:tcBorders>
            <w:vAlign w:val="center"/>
          </w:tcPr>
          <w:p>
            <w:pPr>
              <w:pStyle w:val="34"/>
            </w:pPr>
            <w:r>
              <w:rPr>
                <w:rFonts w:hint="eastAsia"/>
              </w:rPr>
              <w:t>可持续影响指标</w:t>
            </w:r>
          </w:p>
        </w:tc>
        <w:tc>
          <w:tcPr>
            <w:tcW w:w="2835" w:type="dxa"/>
            <w:tcBorders>
              <w:top w:val="single" w:color="auto" w:sz="4" w:space="0"/>
            </w:tcBorders>
            <w:vAlign w:val="center"/>
          </w:tcPr>
          <w:p>
            <w:pPr>
              <w:pStyle w:val="34"/>
              <w:rPr>
                <w:rFonts w:hint="eastAsia"/>
              </w:rPr>
            </w:pPr>
            <w:r>
              <w:rPr>
                <w:rFonts w:hint="eastAsia"/>
              </w:rPr>
              <w:t>对中华优秀传统文化传承影响</w:t>
            </w:r>
          </w:p>
        </w:tc>
        <w:tc>
          <w:tcPr>
            <w:tcW w:w="2835" w:type="dxa"/>
            <w:tcBorders>
              <w:top w:val="single" w:color="auto" w:sz="4" w:space="0"/>
            </w:tcBorders>
            <w:vAlign w:val="center"/>
          </w:tcPr>
          <w:p>
            <w:pPr>
              <w:pStyle w:val="34"/>
              <w:rPr>
                <w:rFonts w:hint="eastAsia"/>
              </w:rPr>
            </w:pPr>
            <w:r>
              <w:rPr>
                <w:rFonts w:hint="eastAsia"/>
              </w:rPr>
              <w:t>对中华优秀传统文化传承影响</w:t>
            </w:r>
          </w:p>
        </w:tc>
        <w:tc>
          <w:tcPr>
            <w:tcW w:w="2551" w:type="dxa"/>
            <w:tcBorders>
              <w:top w:val="single" w:color="auto" w:sz="4" w:space="0"/>
            </w:tcBorders>
            <w:vAlign w:val="center"/>
          </w:tcPr>
          <w:p>
            <w:pPr>
              <w:pStyle w:val="34"/>
              <w:rPr>
                <w:rFonts w:hint="default"/>
                <w:lang w:val="en-US" w:eastAsia="zh-CN"/>
              </w:rPr>
            </w:pPr>
            <w:r>
              <w:rPr>
                <w:rFonts w:hint="eastAsia"/>
                <w:lang w:val="en-US" w:eastAsia="zh-CN"/>
              </w:rPr>
              <w:t>显著</w:t>
            </w:r>
          </w:p>
        </w:tc>
        <w:tc>
          <w:tcPr>
            <w:tcW w:w="2268" w:type="dxa"/>
            <w:tcBorders>
              <w:top w:val="single" w:color="auto" w:sz="4" w:space="0"/>
            </w:tcBorders>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rPr>
                <w:rFonts w:hint="eastAsia"/>
              </w:rPr>
              <w:t>社会公众对非遗保护满意度</w:t>
            </w:r>
          </w:p>
        </w:tc>
        <w:tc>
          <w:tcPr>
            <w:tcW w:w="2835" w:type="dxa"/>
            <w:vAlign w:val="center"/>
          </w:tcPr>
          <w:p>
            <w:pPr>
              <w:pStyle w:val="34"/>
            </w:pPr>
            <w:r>
              <w:rPr>
                <w:rFonts w:hint="eastAsia"/>
              </w:rPr>
              <w:t>社会公众对非遗保护满意度</w:t>
            </w:r>
          </w:p>
        </w:tc>
        <w:tc>
          <w:tcPr>
            <w:tcW w:w="2551" w:type="dxa"/>
            <w:vAlign w:val="center"/>
          </w:tcPr>
          <w:p>
            <w:pPr>
              <w:pStyle w:val="34"/>
            </w:pPr>
            <w:r>
              <w:t>≥9</w:t>
            </w:r>
            <w:r>
              <w:rPr>
                <w:rFonts w:hint="eastAsia"/>
                <w:lang w:val="en-US" w:eastAsia="zh-CN"/>
              </w:rPr>
              <w:t>0</w:t>
            </w:r>
            <w:r>
              <w:t>%</w:t>
            </w:r>
          </w:p>
        </w:tc>
        <w:tc>
          <w:tcPr>
            <w:tcW w:w="2268" w:type="dxa"/>
            <w:vAlign w:val="center"/>
          </w:tcPr>
          <w:p>
            <w:pPr>
              <w:pStyle w:val="34"/>
            </w:pPr>
            <w:r>
              <w:t>满意度调查</w:t>
            </w:r>
          </w:p>
        </w:tc>
      </w:tr>
    </w:tbl>
    <w:p>
      <w:pPr>
        <w:pStyle w:val="32"/>
      </w:pPr>
    </w:p>
    <w:p>
      <w:pPr>
        <w:pStyle w:val="32"/>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中央补助地方美术馆 公共图书馆 文化馆（站）免费开放补助资金</w:t>
      </w: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rPr>
                <w:b w:val="0"/>
                <w:bCs w:val="0"/>
              </w:rPr>
            </w:pPr>
            <w:r>
              <w:rPr>
                <w:rFonts w:hint="eastAsia"/>
              </w:rPr>
              <w:t>公共图书馆、文化馆及乡镇文化站全部免费开放向社会公众开展基本公共文化服务</w:t>
            </w:r>
          </w:p>
        </w:tc>
      </w:tr>
    </w:tbl>
    <w:p>
      <w:pPr>
        <w:pStyle w:val="32"/>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rPr>
                <w:rFonts w:hint="eastAsia"/>
              </w:rPr>
              <w:t>补助资金到位率</w:t>
            </w:r>
          </w:p>
        </w:tc>
        <w:tc>
          <w:tcPr>
            <w:tcW w:w="2835" w:type="dxa"/>
            <w:vAlign w:val="center"/>
          </w:tcPr>
          <w:p>
            <w:pPr>
              <w:pStyle w:val="34"/>
            </w:pPr>
            <w:r>
              <w:rPr>
                <w:rFonts w:hint="eastAsia"/>
              </w:rPr>
              <w:t>补助资金到位率</w:t>
            </w:r>
          </w:p>
        </w:tc>
        <w:tc>
          <w:tcPr>
            <w:tcW w:w="2551" w:type="dxa"/>
            <w:vAlign w:val="center"/>
          </w:tcPr>
          <w:p>
            <w:pPr>
              <w:pStyle w:val="34"/>
            </w:pPr>
            <w:r>
              <w:t>100%</w:t>
            </w:r>
          </w:p>
        </w:tc>
        <w:tc>
          <w:tcPr>
            <w:tcW w:w="2268" w:type="dxa"/>
            <w:vAlign w:val="center"/>
          </w:tcPr>
          <w:p>
            <w:pPr>
              <w:pStyle w:val="34"/>
              <w:rPr>
                <w:rFonts w:hint="eastAsia" w:eastAsia="方正书宋_GBK"/>
                <w:lang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417" w:type="dxa"/>
            <w:vMerge w:val="continue"/>
            <w:vAlign w:val="center"/>
          </w:tcPr>
          <w:p>
            <w:pPr>
              <w:pStyle w:val="32"/>
            </w:pPr>
          </w:p>
        </w:tc>
        <w:tc>
          <w:tcPr>
            <w:tcW w:w="2268" w:type="dxa"/>
            <w:tcBorders>
              <w:bottom w:val="single" w:color="auto" w:sz="4" w:space="0"/>
            </w:tcBorders>
            <w:vAlign w:val="center"/>
          </w:tcPr>
          <w:p>
            <w:pPr>
              <w:pStyle w:val="34"/>
            </w:pPr>
            <w:r>
              <w:t>数量指标</w:t>
            </w:r>
          </w:p>
        </w:tc>
        <w:tc>
          <w:tcPr>
            <w:tcW w:w="2835" w:type="dxa"/>
            <w:tcBorders>
              <w:bottom w:val="single" w:color="auto" w:sz="4" w:space="0"/>
            </w:tcBorders>
            <w:vAlign w:val="center"/>
          </w:tcPr>
          <w:p>
            <w:pPr>
              <w:pStyle w:val="34"/>
            </w:pPr>
            <w:r>
              <w:rPr>
                <w:rFonts w:hint="eastAsia"/>
              </w:rPr>
              <w:t>免费开放场馆（站）组织举办各种展览、培训、讲座等文化活动的数量</w:t>
            </w:r>
          </w:p>
        </w:tc>
        <w:tc>
          <w:tcPr>
            <w:tcW w:w="2835" w:type="dxa"/>
            <w:tcBorders>
              <w:bottom w:val="single" w:color="auto" w:sz="4" w:space="0"/>
            </w:tcBorders>
            <w:vAlign w:val="center"/>
          </w:tcPr>
          <w:p>
            <w:pPr>
              <w:pStyle w:val="34"/>
            </w:pPr>
            <w:r>
              <w:rPr>
                <w:rFonts w:hint="eastAsia"/>
              </w:rPr>
              <w:t>免费开放场馆（站）组织举办各种展览、培训、讲座等文化活动的数量</w:t>
            </w:r>
          </w:p>
        </w:tc>
        <w:tc>
          <w:tcPr>
            <w:tcW w:w="2551" w:type="dxa"/>
            <w:tcBorders>
              <w:bottom w:val="single" w:color="auto" w:sz="4" w:space="0"/>
            </w:tcBorders>
            <w:vAlign w:val="center"/>
          </w:tcPr>
          <w:p>
            <w:pPr>
              <w:pStyle w:val="34"/>
              <w:rPr>
                <w:rFonts w:hint="default" w:eastAsia="方正书宋_GBK"/>
                <w:lang w:val="en-US" w:eastAsia="zh-CN"/>
              </w:rPr>
            </w:pPr>
            <w:r>
              <w:rPr>
                <w:rFonts w:hint="eastAsia"/>
                <w:lang w:val="en-US" w:eastAsia="zh-CN"/>
              </w:rPr>
              <w:t>≥120次</w:t>
            </w:r>
          </w:p>
        </w:tc>
        <w:tc>
          <w:tcPr>
            <w:tcW w:w="2268" w:type="dxa"/>
            <w:tcBorders>
              <w:bottom w:val="single" w:color="auto" w:sz="4" w:space="0"/>
            </w:tcBorders>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3" w:hRule="atLeast"/>
          <w:jc w:val="center"/>
        </w:trPr>
        <w:tc>
          <w:tcPr>
            <w:tcW w:w="1417" w:type="dxa"/>
            <w:vMerge w:val="continue"/>
            <w:vAlign w:val="center"/>
          </w:tcPr>
          <w:p>
            <w:pPr>
              <w:pStyle w:val="32"/>
            </w:pPr>
          </w:p>
        </w:tc>
        <w:tc>
          <w:tcPr>
            <w:tcW w:w="2268" w:type="dxa"/>
            <w:tcBorders>
              <w:top w:val="single" w:color="auto" w:sz="4" w:space="0"/>
            </w:tcBorders>
            <w:vAlign w:val="center"/>
          </w:tcPr>
          <w:p>
            <w:pPr>
              <w:pStyle w:val="34"/>
            </w:pPr>
            <w:r>
              <w:t>数量指标</w:t>
            </w:r>
          </w:p>
        </w:tc>
        <w:tc>
          <w:tcPr>
            <w:tcW w:w="2835" w:type="dxa"/>
            <w:tcBorders>
              <w:top w:val="single" w:color="auto" w:sz="4" w:space="0"/>
            </w:tcBorders>
            <w:vAlign w:val="center"/>
          </w:tcPr>
          <w:p>
            <w:pPr>
              <w:pStyle w:val="34"/>
            </w:pPr>
            <w:r>
              <w:rPr>
                <w:rFonts w:hint="eastAsia"/>
              </w:rPr>
              <w:t>群众参与免费开放文化场馆（站）组织活动的人次</w:t>
            </w:r>
          </w:p>
        </w:tc>
        <w:tc>
          <w:tcPr>
            <w:tcW w:w="2835" w:type="dxa"/>
            <w:tcBorders>
              <w:top w:val="single" w:color="auto" w:sz="4" w:space="0"/>
            </w:tcBorders>
            <w:vAlign w:val="center"/>
          </w:tcPr>
          <w:p>
            <w:pPr>
              <w:pStyle w:val="34"/>
            </w:pPr>
            <w:r>
              <w:rPr>
                <w:rFonts w:hint="eastAsia"/>
              </w:rPr>
              <w:t>群众参与免费开放文化场馆（站）组织活动的人次</w:t>
            </w:r>
          </w:p>
        </w:tc>
        <w:tc>
          <w:tcPr>
            <w:tcW w:w="2551" w:type="dxa"/>
            <w:tcBorders>
              <w:top w:val="single" w:color="auto" w:sz="4" w:space="0"/>
            </w:tcBorders>
            <w:vAlign w:val="center"/>
          </w:tcPr>
          <w:p>
            <w:pPr>
              <w:pStyle w:val="34"/>
              <w:rPr>
                <w:rFonts w:hint="default" w:eastAsia="方正书宋_GBK"/>
                <w:lang w:val="en-US" w:eastAsia="zh-CN"/>
              </w:rPr>
            </w:pPr>
            <w:r>
              <w:rPr>
                <w:rFonts w:hint="eastAsia"/>
                <w:lang w:val="en-US" w:eastAsia="zh-CN"/>
              </w:rPr>
              <w:t>≥15万人次</w:t>
            </w:r>
          </w:p>
        </w:tc>
        <w:tc>
          <w:tcPr>
            <w:tcW w:w="2268" w:type="dxa"/>
            <w:tcBorders>
              <w:top w:val="single" w:color="auto" w:sz="4" w:space="0"/>
            </w:tcBorders>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pPr>
            <w:r>
              <w:t>质量指标</w:t>
            </w:r>
          </w:p>
        </w:tc>
        <w:tc>
          <w:tcPr>
            <w:tcW w:w="2835" w:type="dxa"/>
            <w:vAlign w:val="center"/>
          </w:tcPr>
          <w:p>
            <w:pPr>
              <w:pStyle w:val="34"/>
            </w:pPr>
            <w:r>
              <w:rPr>
                <w:rFonts w:hint="eastAsia"/>
              </w:rPr>
              <w:t>举办文化活动较上年增长率</w:t>
            </w:r>
          </w:p>
        </w:tc>
        <w:tc>
          <w:tcPr>
            <w:tcW w:w="2835" w:type="dxa"/>
            <w:vAlign w:val="center"/>
          </w:tcPr>
          <w:p>
            <w:pPr>
              <w:pStyle w:val="34"/>
            </w:pPr>
            <w:r>
              <w:rPr>
                <w:rFonts w:hint="eastAsia"/>
              </w:rPr>
              <w:t>举办文化活动较上年增长率</w:t>
            </w:r>
          </w:p>
        </w:tc>
        <w:tc>
          <w:tcPr>
            <w:tcW w:w="2551" w:type="dxa"/>
            <w:vAlign w:val="center"/>
          </w:tcPr>
          <w:p>
            <w:pPr>
              <w:pStyle w:val="34"/>
              <w:rPr>
                <w:rFonts w:hint="default"/>
                <w:lang w:val="en-US"/>
              </w:rPr>
            </w:pPr>
            <w:r>
              <w:rPr>
                <w:rFonts w:hint="eastAsia"/>
                <w:lang w:val="en-US" w:eastAsia="zh-CN"/>
              </w:rPr>
              <w:t>≥5%</w:t>
            </w:r>
          </w:p>
        </w:tc>
        <w:tc>
          <w:tcPr>
            <w:tcW w:w="2268" w:type="dxa"/>
            <w:vAlign w:val="center"/>
          </w:tcPr>
          <w:p>
            <w:pPr>
              <w:pStyle w:val="34"/>
              <w:rPr>
                <w:rFonts w:hint="eastAsia" w:eastAsia="方正书宋_GBK"/>
                <w:lang w:eastAsia="zh-CN"/>
              </w:rPr>
            </w:pPr>
            <w:r>
              <w:t>工作</w:t>
            </w:r>
            <w:r>
              <w:rPr>
                <w:rFonts w:hint="eastAsia"/>
                <w:lang w:val="en-US" w:eastAsia="zh-CN"/>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pPr>
            <w:r>
              <w:t>质量指标</w:t>
            </w:r>
          </w:p>
        </w:tc>
        <w:tc>
          <w:tcPr>
            <w:tcW w:w="2835" w:type="dxa"/>
            <w:vAlign w:val="center"/>
          </w:tcPr>
          <w:p>
            <w:pPr>
              <w:pStyle w:val="34"/>
            </w:pPr>
            <w:r>
              <w:rPr>
                <w:rFonts w:hint="eastAsia"/>
              </w:rPr>
              <w:t>群众参与人次较上年增长率</w:t>
            </w:r>
          </w:p>
        </w:tc>
        <w:tc>
          <w:tcPr>
            <w:tcW w:w="2835" w:type="dxa"/>
            <w:vAlign w:val="center"/>
          </w:tcPr>
          <w:p>
            <w:pPr>
              <w:pStyle w:val="34"/>
            </w:pPr>
            <w:r>
              <w:rPr>
                <w:rFonts w:hint="eastAsia"/>
              </w:rPr>
              <w:t>群众参与人次较上年增长率</w:t>
            </w:r>
          </w:p>
        </w:tc>
        <w:tc>
          <w:tcPr>
            <w:tcW w:w="2551" w:type="dxa"/>
            <w:vAlign w:val="center"/>
          </w:tcPr>
          <w:p>
            <w:pPr>
              <w:pStyle w:val="34"/>
            </w:pPr>
            <w:r>
              <w:t>≤</w:t>
            </w:r>
            <w:r>
              <w:rPr>
                <w:rFonts w:hint="eastAsia"/>
                <w:lang w:val="en-US" w:eastAsia="zh-CN"/>
              </w:rPr>
              <w:t>5%</w:t>
            </w:r>
          </w:p>
        </w:tc>
        <w:tc>
          <w:tcPr>
            <w:tcW w:w="2268" w:type="dxa"/>
            <w:vAlign w:val="center"/>
          </w:tcPr>
          <w:p>
            <w:pPr>
              <w:pStyle w:val="34"/>
              <w:rPr>
                <w:b w:val="0"/>
                <w:bCs w:val="0"/>
              </w:rPr>
            </w:pPr>
            <w:r>
              <w:t>工作</w:t>
            </w:r>
            <w:r>
              <w:rPr>
                <w:rFonts w:hint="eastAsia"/>
                <w:lang w:val="en-US" w:eastAsia="zh-CN"/>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417" w:type="dxa"/>
            <w:vMerge w:val="restart"/>
            <w:vAlign w:val="center"/>
          </w:tcPr>
          <w:p>
            <w:pPr>
              <w:pStyle w:val="35"/>
            </w:pPr>
            <w:r>
              <w:t>效益指标</w:t>
            </w:r>
          </w:p>
        </w:tc>
        <w:tc>
          <w:tcPr>
            <w:tcW w:w="2268" w:type="dxa"/>
            <w:tcBorders>
              <w:bottom w:val="single" w:color="auto" w:sz="4" w:space="0"/>
            </w:tcBorders>
            <w:vAlign w:val="center"/>
          </w:tcPr>
          <w:p>
            <w:pPr>
              <w:pStyle w:val="34"/>
            </w:pPr>
            <w:r>
              <w:t>社会效益指标</w:t>
            </w:r>
          </w:p>
        </w:tc>
        <w:tc>
          <w:tcPr>
            <w:tcW w:w="2835" w:type="dxa"/>
            <w:tcBorders>
              <w:bottom w:val="single" w:color="auto" w:sz="4" w:space="0"/>
            </w:tcBorders>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免费开放文化场馆（站）正常运转</w:t>
            </w:r>
          </w:p>
        </w:tc>
        <w:tc>
          <w:tcPr>
            <w:tcW w:w="2835" w:type="dxa"/>
            <w:tcBorders>
              <w:bottom w:val="single" w:color="auto" w:sz="4" w:space="0"/>
            </w:tcBorders>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免费开放文化场馆（站）正常运转</w:t>
            </w:r>
          </w:p>
        </w:tc>
        <w:tc>
          <w:tcPr>
            <w:tcW w:w="2551" w:type="dxa"/>
            <w:tcBorders>
              <w:bottom w:val="single" w:color="auto" w:sz="4" w:space="0"/>
            </w:tcBorders>
            <w:vAlign w:val="center"/>
          </w:tcPr>
          <w:p>
            <w:pPr>
              <w:pStyle w:val="34"/>
              <w:rPr>
                <w:rFonts w:hint="default" w:eastAsia="方正书宋_GBK"/>
                <w:lang w:val="en-US" w:eastAsia="zh-CN"/>
              </w:rPr>
            </w:pPr>
            <w:r>
              <w:rPr>
                <w:rFonts w:hint="eastAsia"/>
                <w:lang w:val="en-US" w:eastAsia="zh-CN"/>
              </w:rPr>
              <w:t>≥95%</w:t>
            </w:r>
          </w:p>
        </w:tc>
        <w:tc>
          <w:tcPr>
            <w:tcW w:w="2268" w:type="dxa"/>
            <w:tcBorders>
              <w:bottom w:val="single" w:color="auto" w:sz="4" w:space="0"/>
            </w:tcBorders>
            <w:vAlign w:val="center"/>
          </w:tcPr>
          <w:p>
            <w:r>
              <w:t>工作</w:t>
            </w:r>
            <w:r>
              <w:rPr>
                <w:rFonts w:hint="eastAsia"/>
                <w:lang w:val="en-US" w:eastAsia="zh-CN"/>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417" w:type="dxa"/>
            <w:vMerge w:val="continue"/>
            <w:vAlign w:val="center"/>
          </w:tcPr>
          <w:p>
            <w:pPr>
              <w:pStyle w:val="35"/>
            </w:pPr>
          </w:p>
        </w:tc>
        <w:tc>
          <w:tcPr>
            <w:tcW w:w="2268" w:type="dxa"/>
            <w:tcBorders>
              <w:top w:val="single" w:color="auto" w:sz="4" w:space="0"/>
            </w:tcBorders>
            <w:vAlign w:val="center"/>
          </w:tcPr>
          <w:p>
            <w:pPr>
              <w:pStyle w:val="34"/>
            </w:pPr>
            <w:r>
              <w:rPr>
                <w:rFonts w:hint="eastAsia"/>
              </w:rPr>
              <w:t>可持续影响指标</w:t>
            </w:r>
          </w:p>
        </w:tc>
        <w:tc>
          <w:tcPr>
            <w:tcW w:w="2835" w:type="dxa"/>
            <w:tcBorders>
              <w:top w:val="single" w:color="auto" w:sz="4" w:space="0"/>
            </w:tcBorders>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免费开放服务水平稳步提升</w:t>
            </w:r>
          </w:p>
        </w:tc>
        <w:tc>
          <w:tcPr>
            <w:tcW w:w="2835" w:type="dxa"/>
            <w:tcBorders>
              <w:top w:val="single" w:color="auto" w:sz="4" w:space="0"/>
            </w:tcBorders>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免费开放服务水平稳步提升</w:t>
            </w:r>
          </w:p>
        </w:tc>
        <w:tc>
          <w:tcPr>
            <w:tcW w:w="2551" w:type="dxa"/>
            <w:tcBorders>
              <w:top w:val="single" w:color="auto" w:sz="4" w:space="0"/>
            </w:tcBorders>
            <w:vAlign w:val="center"/>
          </w:tcPr>
          <w:p>
            <w:pPr>
              <w:pStyle w:val="34"/>
              <w:rPr>
                <w:rFonts w:hint="eastAsia" w:eastAsia="方正书宋_GBK"/>
                <w:lang w:val="en-US" w:eastAsia="zh-CN"/>
              </w:rPr>
            </w:pPr>
            <w:r>
              <w:rPr>
                <w:rFonts w:hint="eastAsia"/>
                <w:lang w:val="en-US" w:eastAsia="zh-CN"/>
              </w:rPr>
              <w:t>长期</w:t>
            </w:r>
          </w:p>
        </w:tc>
        <w:tc>
          <w:tcPr>
            <w:tcW w:w="2268" w:type="dxa"/>
            <w:tcBorders>
              <w:top w:val="single" w:color="auto" w:sz="4" w:space="0"/>
            </w:tcBorders>
            <w:vAlign w:val="center"/>
          </w:tcPr>
          <w:p>
            <w:r>
              <w:t>工作</w:t>
            </w:r>
            <w:r>
              <w:rPr>
                <w:rFonts w:hint="eastAsia"/>
                <w:lang w:val="en-US" w:eastAsia="zh-CN"/>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受益群众免费开放场馆服务的满意度</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受益群众免费开放场馆服务的满意度</w:t>
            </w:r>
          </w:p>
        </w:tc>
        <w:tc>
          <w:tcPr>
            <w:tcW w:w="2551" w:type="dxa"/>
            <w:vAlign w:val="center"/>
          </w:tcPr>
          <w:p>
            <w:pPr>
              <w:pStyle w:val="34"/>
            </w:pPr>
            <w:r>
              <w:t>≥9</w:t>
            </w:r>
            <w:r>
              <w:rPr>
                <w:rFonts w:hint="eastAsia"/>
                <w:lang w:val="en-US" w:eastAsia="zh-CN"/>
              </w:rPr>
              <w:t>0</w:t>
            </w:r>
            <w:r>
              <w:t>%</w:t>
            </w:r>
          </w:p>
        </w:tc>
        <w:tc>
          <w:tcPr>
            <w:tcW w:w="2268" w:type="dxa"/>
            <w:vAlign w:val="center"/>
          </w:tcPr>
          <w:p>
            <w:pPr>
              <w:pStyle w:val="34"/>
            </w:pPr>
            <w:r>
              <w:t>满意度测评</w:t>
            </w:r>
          </w:p>
        </w:tc>
      </w:tr>
    </w:tbl>
    <w:p>
      <w:pPr>
        <w:pStyle w:val="32"/>
      </w:pPr>
    </w:p>
    <w:p>
      <w:pPr>
        <w:pStyle w:val="32"/>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省级“三馆一站”免费开放补助资金</w:t>
      </w: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rPr>
                <w:b w:val="0"/>
                <w:bCs w:val="0"/>
              </w:rPr>
            </w:pPr>
            <w:r>
              <w:rPr>
                <w:rFonts w:hint="eastAsia"/>
              </w:rPr>
              <w:t>公共图书馆、文化馆、乡镇文化站全部免费向社会公众开展基本公共文化服务</w:t>
            </w:r>
          </w:p>
        </w:tc>
      </w:tr>
    </w:tbl>
    <w:p>
      <w:pPr>
        <w:pStyle w:val="32"/>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5"/>
            </w:pPr>
            <w:r>
              <w:t>产出指标</w:t>
            </w:r>
          </w:p>
        </w:tc>
        <w:tc>
          <w:tcPr>
            <w:tcW w:w="226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28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补助资金到位率</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补助资金到位率</w:t>
            </w:r>
          </w:p>
        </w:tc>
        <w:tc>
          <w:tcPr>
            <w:tcW w:w="2551" w:type="dxa"/>
            <w:vAlign w:val="top"/>
          </w:tcPr>
          <w:p>
            <w:pPr>
              <w:keepNext w:val="0"/>
              <w:keepLines w:val="0"/>
              <w:widowControl/>
              <w:suppressLineNumbers w:val="0"/>
              <w:jc w:val="lef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100%</w:t>
            </w:r>
          </w:p>
        </w:tc>
        <w:tc>
          <w:tcPr>
            <w:tcW w:w="2268" w:type="dxa"/>
            <w:vAlign w:val="center"/>
          </w:tcPr>
          <w:p>
            <w:r>
              <w:t>工作</w:t>
            </w:r>
            <w:r>
              <w:rPr>
                <w:rFonts w:hint="eastAsia"/>
                <w:lang w:val="en-US" w:eastAsia="zh-CN"/>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免费开放场馆（站）组织举办各业展览、培训、讲座街门评论经活动的数量</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免费开放场馆（站）组织举办各业展览、培训、讲座街门评论经活动的数量</w:t>
            </w:r>
          </w:p>
        </w:tc>
        <w:tc>
          <w:tcPr>
            <w:tcW w:w="2551" w:type="dxa"/>
            <w:vAlign w:val="top"/>
          </w:tcPr>
          <w:p>
            <w:pPr>
              <w:keepNext w:val="0"/>
              <w:keepLines w:val="0"/>
              <w:widowControl/>
              <w:suppressLineNumbers w:val="0"/>
              <w:jc w:val="lef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120次</w:t>
            </w:r>
          </w:p>
        </w:tc>
        <w:tc>
          <w:tcPr>
            <w:tcW w:w="2268" w:type="dxa"/>
            <w:vAlign w:val="center"/>
          </w:tcPr>
          <w:p>
            <w:r>
              <w:t>工作</w:t>
            </w:r>
            <w:r>
              <w:rPr>
                <w:rFonts w:hint="eastAsia"/>
                <w:lang w:val="en-US" w:eastAsia="zh-CN"/>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群众参与免费开放文化场馆（站）组织活动的人次</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群众参与免费开放文化场馆（站）组织活动的人次</w:t>
            </w:r>
          </w:p>
        </w:tc>
        <w:tc>
          <w:tcPr>
            <w:tcW w:w="2551" w:type="dxa"/>
            <w:vAlign w:val="top"/>
          </w:tcPr>
          <w:p>
            <w:pPr>
              <w:keepNext w:val="0"/>
              <w:keepLines w:val="0"/>
              <w:widowControl/>
              <w:suppressLineNumbers w:val="0"/>
              <w:jc w:val="lef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15万人次</w:t>
            </w:r>
          </w:p>
        </w:tc>
        <w:tc>
          <w:tcPr>
            <w:tcW w:w="2268" w:type="dxa"/>
            <w:vAlign w:val="center"/>
          </w:tcPr>
          <w:p>
            <w:r>
              <w:t>工作</w:t>
            </w:r>
            <w:r>
              <w:rPr>
                <w:rFonts w:hint="eastAsia"/>
                <w:lang w:val="en-US" w:eastAsia="zh-CN"/>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1417" w:type="dxa"/>
            <w:vMerge w:val="continue"/>
            <w:vAlign w:val="center"/>
          </w:tcPr>
          <w:p>
            <w:pPr>
              <w:pStyle w:val="32"/>
            </w:pPr>
          </w:p>
        </w:tc>
        <w:tc>
          <w:tcPr>
            <w:tcW w:w="2268" w:type="dxa"/>
            <w:tcBorders>
              <w:bottom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质量指标</w:t>
            </w:r>
          </w:p>
        </w:tc>
        <w:tc>
          <w:tcPr>
            <w:tcW w:w="2835" w:type="dxa"/>
            <w:tcBorders>
              <w:bottom w:val="single" w:color="auto" w:sz="4" w:space="0"/>
            </w:tcBorders>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举办文化活动较上年增长率</w:t>
            </w:r>
          </w:p>
        </w:tc>
        <w:tc>
          <w:tcPr>
            <w:tcW w:w="2835" w:type="dxa"/>
            <w:tcBorders>
              <w:bottom w:val="single" w:color="auto" w:sz="4" w:space="0"/>
            </w:tcBorders>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举办文化活动较上年增长率</w:t>
            </w:r>
          </w:p>
        </w:tc>
        <w:tc>
          <w:tcPr>
            <w:tcW w:w="2551" w:type="dxa"/>
            <w:tcBorders>
              <w:bottom w:val="single" w:color="auto" w:sz="4" w:space="0"/>
            </w:tcBorders>
            <w:vAlign w:val="top"/>
          </w:tcPr>
          <w:p>
            <w:pPr>
              <w:keepNext w:val="0"/>
              <w:keepLines w:val="0"/>
              <w:widowControl/>
              <w:suppressLineNumbers w:val="0"/>
              <w:jc w:val="lef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5%</w:t>
            </w:r>
          </w:p>
        </w:tc>
        <w:tc>
          <w:tcPr>
            <w:tcW w:w="2268" w:type="dxa"/>
            <w:tcBorders>
              <w:bottom w:val="single" w:color="auto" w:sz="4" w:space="0"/>
            </w:tcBorders>
            <w:vAlign w:val="center"/>
          </w:tcPr>
          <w:p>
            <w:r>
              <w:t>工作</w:t>
            </w:r>
            <w:r>
              <w:rPr>
                <w:rFonts w:hint="eastAsia"/>
                <w:lang w:val="en-US" w:eastAsia="zh-CN"/>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417" w:type="dxa"/>
            <w:vMerge w:val="continue"/>
            <w:vAlign w:val="center"/>
          </w:tcPr>
          <w:p>
            <w:pPr>
              <w:pStyle w:val="32"/>
            </w:pPr>
          </w:p>
        </w:tc>
        <w:tc>
          <w:tcPr>
            <w:tcW w:w="2268" w:type="dxa"/>
            <w:tcBorders>
              <w:top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质量指标</w:t>
            </w:r>
          </w:p>
        </w:tc>
        <w:tc>
          <w:tcPr>
            <w:tcW w:w="2835" w:type="dxa"/>
            <w:tcBorders>
              <w:top w:val="single" w:color="auto" w:sz="4" w:space="0"/>
            </w:tcBorders>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群众参与人次较上年增长率</w:t>
            </w:r>
          </w:p>
        </w:tc>
        <w:tc>
          <w:tcPr>
            <w:tcW w:w="2835" w:type="dxa"/>
            <w:tcBorders>
              <w:top w:val="single" w:color="auto" w:sz="4" w:space="0"/>
            </w:tcBorders>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群众参与人次较上年增长率</w:t>
            </w:r>
          </w:p>
        </w:tc>
        <w:tc>
          <w:tcPr>
            <w:tcW w:w="2551" w:type="dxa"/>
            <w:tcBorders>
              <w:top w:val="single" w:color="auto" w:sz="4" w:space="0"/>
            </w:tcBorders>
            <w:vAlign w:val="top"/>
          </w:tcPr>
          <w:p>
            <w:pPr>
              <w:keepNext w:val="0"/>
              <w:keepLines w:val="0"/>
              <w:widowControl/>
              <w:suppressLineNumbers w:val="0"/>
              <w:jc w:val="lef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5%</w:t>
            </w:r>
          </w:p>
        </w:tc>
        <w:tc>
          <w:tcPr>
            <w:tcW w:w="2268" w:type="dxa"/>
            <w:tcBorders>
              <w:top w:val="single" w:color="auto" w:sz="4" w:space="0"/>
            </w:tcBorders>
            <w:vAlign w:val="center"/>
          </w:tcPr>
          <w:p>
            <w:r>
              <w:t>工作</w:t>
            </w:r>
            <w:r>
              <w:rPr>
                <w:rFonts w:hint="eastAsia"/>
                <w:lang w:val="en-US" w:eastAsia="zh-CN"/>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1417" w:type="dxa"/>
            <w:vMerge w:val="restart"/>
            <w:vAlign w:val="center"/>
          </w:tcPr>
          <w:p>
            <w:pPr>
              <w:pStyle w:val="35"/>
            </w:pPr>
            <w:r>
              <w:t>效益指标</w:t>
            </w:r>
          </w:p>
        </w:tc>
        <w:tc>
          <w:tcPr>
            <w:tcW w:w="2268" w:type="dxa"/>
            <w:tcBorders>
              <w:bottom w:val="single" w:color="auto" w:sz="4" w:space="0"/>
            </w:tcBorders>
            <w:vAlign w:val="center"/>
          </w:tcPr>
          <w:p>
            <w:pPr>
              <w:pStyle w:val="34"/>
            </w:pPr>
            <w:r>
              <w:t>可持续影响指标</w:t>
            </w:r>
          </w:p>
        </w:tc>
        <w:tc>
          <w:tcPr>
            <w:tcW w:w="2835" w:type="dxa"/>
            <w:tcBorders>
              <w:bottom w:val="single" w:color="auto" w:sz="4" w:space="0"/>
            </w:tcBorders>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免费开放文化场馆（站）正常运转</w:t>
            </w:r>
          </w:p>
        </w:tc>
        <w:tc>
          <w:tcPr>
            <w:tcW w:w="2835" w:type="dxa"/>
            <w:tcBorders>
              <w:bottom w:val="single" w:color="auto" w:sz="4" w:space="0"/>
            </w:tcBorders>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免费开放文化场馆（站）正常运转</w:t>
            </w:r>
          </w:p>
        </w:tc>
        <w:tc>
          <w:tcPr>
            <w:tcW w:w="2551" w:type="dxa"/>
            <w:tcBorders>
              <w:bottom w:val="single" w:color="auto" w:sz="4" w:space="0"/>
            </w:tcBorders>
            <w:vAlign w:val="center"/>
          </w:tcPr>
          <w:p>
            <w:pPr>
              <w:pStyle w:val="34"/>
              <w:rPr>
                <w:rFonts w:hint="default" w:eastAsia="方正书宋_GBK"/>
                <w:b w:val="0"/>
                <w:bCs w:val="0"/>
                <w:lang w:val="en-US" w:eastAsia="zh-CN"/>
              </w:rPr>
            </w:pPr>
            <w:r>
              <w:t>≥</w:t>
            </w:r>
            <w:r>
              <w:rPr>
                <w:rFonts w:hint="eastAsia"/>
                <w:lang w:val="en-US" w:eastAsia="zh-CN"/>
              </w:rPr>
              <w:t>95%</w:t>
            </w:r>
          </w:p>
        </w:tc>
        <w:tc>
          <w:tcPr>
            <w:tcW w:w="2268" w:type="dxa"/>
            <w:tcBorders>
              <w:bottom w:val="single" w:color="auto" w:sz="4" w:space="0"/>
            </w:tcBorders>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1417" w:type="dxa"/>
            <w:vMerge w:val="continue"/>
            <w:vAlign w:val="center"/>
          </w:tcPr>
          <w:p>
            <w:pPr>
              <w:pStyle w:val="35"/>
            </w:pPr>
          </w:p>
        </w:tc>
        <w:tc>
          <w:tcPr>
            <w:tcW w:w="2268" w:type="dxa"/>
            <w:tcBorders>
              <w:top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社会效益指标</w:t>
            </w:r>
          </w:p>
        </w:tc>
        <w:tc>
          <w:tcPr>
            <w:tcW w:w="2835" w:type="dxa"/>
            <w:tcBorders>
              <w:top w:val="single" w:color="auto" w:sz="4" w:space="0"/>
            </w:tcBorders>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免费开放服务水平稳步提升</w:t>
            </w:r>
          </w:p>
        </w:tc>
        <w:tc>
          <w:tcPr>
            <w:tcW w:w="2835" w:type="dxa"/>
            <w:tcBorders>
              <w:top w:val="single" w:color="auto" w:sz="4" w:space="0"/>
            </w:tcBorders>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免费开放服务水平稳步提升</w:t>
            </w:r>
          </w:p>
        </w:tc>
        <w:tc>
          <w:tcPr>
            <w:tcW w:w="2551" w:type="dxa"/>
            <w:tcBorders>
              <w:top w:val="single" w:color="auto" w:sz="4" w:space="0"/>
            </w:tcBorders>
            <w:vAlign w:val="center"/>
          </w:tcPr>
          <w:p>
            <w:pPr>
              <w:pStyle w:val="34"/>
              <w:rPr>
                <w:rFonts w:hint="eastAsia" w:eastAsia="方正书宋_GBK"/>
                <w:lang w:val="en-US" w:eastAsia="zh-CN"/>
              </w:rPr>
            </w:pPr>
            <w:r>
              <w:rPr>
                <w:rFonts w:hint="eastAsia"/>
                <w:lang w:val="en-US" w:eastAsia="zh-CN"/>
              </w:rPr>
              <w:t>长期</w:t>
            </w:r>
          </w:p>
        </w:tc>
        <w:tc>
          <w:tcPr>
            <w:tcW w:w="2268" w:type="dxa"/>
            <w:tcBorders>
              <w:top w:val="single" w:color="auto" w:sz="4" w:space="0"/>
            </w:tcBorders>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服务对象满意度指标</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受益群众对免费开放场馆（站）服务的满意度</w:t>
            </w:r>
          </w:p>
        </w:tc>
        <w:tc>
          <w:tcPr>
            <w:tcW w:w="2551" w:type="dxa"/>
            <w:vAlign w:val="center"/>
          </w:tcPr>
          <w:p>
            <w:pPr>
              <w:pStyle w:val="34"/>
            </w:pPr>
            <w:r>
              <w:t>≥9</w:t>
            </w:r>
            <w:r>
              <w:rPr>
                <w:rFonts w:hint="eastAsia"/>
                <w:lang w:val="en-US" w:eastAsia="zh-CN"/>
              </w:rPr>
              <w:t>0</w:t>
            </w:r>
            <w:r>
              <w:t>%</w:t>
            </w:r>
          </w:p>
        </w:tc>
        <w:tc>
          <w:tcPr>
            <w:tcW w:w="2268" w:type="dxa"/>
            <w:vAlign w:val="center"/>
          </w:tcPr>
          <w:p>
            <w:pPr>
              <w:pStyle w:val="34"/>
            </w:pPr>
            <w:r>
              <w:t>满意度测评</w:t>
            </w:r>
          </w:p>
        </w:tc>
      </w:tr>
    </w:tbl>
    <w:p>
      <w:pPr>
        <w:pStyle w:val="32"/>
      </w:pPr>
    </w:p>
    <w:p>
      <w:pPr>
        <w:pStyle w:val="32"/>
        <w:ind w:firstLine="560"/>
        <w:rPr>
          <w:rFonts w:ascii="方正仿宋_GBK" w:hAnsi="方正仿宋_GBK" w:eastAsia="方正仿宋_GBK" w:cs="方正仿宋_GBK"/>
          <w:b/>
          <w:color w:val="000000"/>
          <w:sz w:val="28"/>
        </w:rPr>
      </w:pPr>
    </w:p>
    <w:p>
      <w:pPr>
        <w:pStyle w:val="32"/>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2022年博物馆免费开放资金</w:t>
      </w: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w:t>
            </w:r>
            <w:r>
              <w:rPr>
                <w:rFonts w:hint="eastAsia"/>
              </w:rPr>
              <w:t>有效提升服务水平，促进博物馆事业发展</w:t>
            </w:r>
          </w:p>
          <w:p>
            <w:pPr>
              <w:pStyle w:val="34"/>
            </w:pPr>
            <w:r>
              <w:t>2.</w:t>
            </w:r>
            <w:r>
              <w:rPr>
                <w:rFonts w:hint="eastAsia"/>
              </w:rPr>
              <w:t>做好博物馆免费开放的管理运行与安全保证等工作，推进文化传播和社会教育。</w:t>
            </w:r>
          </w:p>
        </w:tc>
      </w:tr>
    </w:tbl>
    <w:p>
      <w:pPr>
        <w:pStyle w:val="32"/>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5"/>
            </w:pPr>
            <w:r>
              <w:t>产出指标</w:t>
            </w:r>
          </w:p>
        </w:tc>
        <w:tc>
          <w:tcPr>
            <w:tcW w:w="2268" w:type="dxa"/>
            <w:vAlign w:val="center"/>
          </w:tcPr>
          <w:p>
            <w:pPr>
              <w:pStyle w:val="34"/>
              <w:jc w:val="left"/>
            </w:pPr>
            <w:r>
              <w:rPr>
                <w:rFonts w:hint="eastAsia"/>
                <w:lang w:val="en-US" w:eastAsia="zh-CN"/>
              </w:rPr>
              <w:t>成本</w:t>
            </w:r>
            <w:r>
              <w:t>指标</w:t>
            </w:r>
          </w:p>
        </w:tc>
        <w:tc>
          <w:tcPr>
            <w:tcW w:w="2835"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讲解员培训，展览提升及临时展览，各种安全消防设施</w:t>
            </w:r>
          </w:p>
        </w:tc>
        <w:tc>
          <w:tcPr>
            <w:tcW w:w="2835"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讲解员培训，展览提升及临时展览，各种安全消防设施</w:t>
            </w:r>
          </w:p>
        </w:tc>
        <w:tc>
          <w:tcPr>
            <w:tcW w:w="2551"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定期组织讲解员培训，确保展厅及临时展览及时更新、达标，保证各种安防设施正常使用。</w:t>
            </w:r>
          </w:p>
        </w:tc>
        <w:tc>
          <w:tcPr>
            <w:tcW w:w="2268" w:type="dxa"/>
            <w:vAlign w:val="center"/>
          </w:tcPr>
          <w:p>
            <w:pPr>
              <w:pStyle w:val="34"/>
              <w:jc w:val="left"/>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jc w:val="left"/>
            </w:pPr>
            <w:r>
              <w:rPr>
                <w:rFonts w:hint="eastAsia"/>
                <w:lang w:val="en-US" w:eastAsia="zh-CN"/>
              </w:rPr>
              <w:t>数</w:t>
            </w:r>
            <w:r>
              <w:t>量指标</w:t>
            </w:r>
          </w:p>
        </w:tc>
        <w:tc>
          <w:tcPr>
            <w:tcW w:w="2835"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免费开放参观人数及临时展数量</w:t>
            </w:r>
          </w:p>
        </w:tc>
        <w:tc>
          <w:tcPr>
            <w:tcW w:w="2835"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免费开放参观人数及临时展数量</w:t>
            </w:r>
          </w:p>
        </w:tc>
        <w:tc>
          <w:tcPr>
            <w:tcW w:w="2551"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年举办临时展览5个，参观人数达到38000人。</w:t>
            </w:r>
          </w:p>
        </w:tc>
        <w:tc>
          <w:tcPr>
            <w:tcW w:w="2268" w:type="dxa"/>
            <w:vAlign w:val="center"/>
          </w:tcPr>
          <w:p>
            <w:pPr>
              <w:jc w:val="left"/>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jc w:val="left"/>
            </w:pPr>
            <w:r>
              <w:rPr>
                <w:rFonts w:hint="eastAsia"/>
                <w:lang w:val="en-US" w:eastAsia="zh-CN"/>
              </w:rPr>
              <w:t>质量</w:t>
            </w:r>
            <w:r>
              <w:t>指标</w:t>
            </w:r>
          </w:p>
        </w:tc>
        <w:tc>
          <w:tcPr>
            <w:tcW w:w="2835"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安防设备是否完善，保安、保洁服务是否达优、服务设施设备是否齐全完好</w:t>
            </w:r>
          </w:p>
        </w:tc>
        <w:tc>
          <w:tcPr>
            <w:tcW w:w="2835"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安防设备是否完善，保安、保洁服务是否达优、服务设施设备是否齐全完好</w:t>
            </w:r>
          </w:p>
        </w:tc>
        <w:tc>
          <w:tcPr>
            <w:tcW w:w="2551"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有完善的安防技防设备，与保安公司签约保安人员维护馆内安全，服务设施设备完好。</w:t>
            </w:r>
          </w:p>
        </w:tc>
        <w:tc>
          <w:tcPr>
            <w:tcW w:w="2268" w:type="dxa"/>
            <w:vAlign w:val="center"/>
          </w:tcPr>
          <w:p>
            <w:pPr>
              <w:jc w:val="left"/>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4"/>
              <w:jc w:val="left"/>
            </w:pPr>
            <w:r>
              <w:rPr>
                <w:rFonts w:hint="eastAsia"/>
                <w:lang w:val="en-US" w:eastAsia="zh-CN"/>
              </w:rPr>
              <w:t>时效</w:t>
            </w:r>
            <w:r>
              <w:t>指标</w:t>
            </w:r>
          </w:p>
        </w:tc>
        <w:tc>
          <w:tcPr>
            <w:tcW w:w="2835"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经费保障与使用</w:t>
            </w:r>
          </w:p>
        </w:tc>
        <w:tc>
          <w:tcPr>
            <w:tcW w:w="2835" w:type="dxa"/>
            <w:vAlign w:val="center"/>
          </w:tcPr>
          <w:p>
            <w:pPr>
              <w:pStyle w:val="34"/>
              <w:jc w:val="left"/>
            </w:pPr>
            <w:r>
              <w:t>控制在预算数额内</w:t>
            </w:r>
          </w:p>
        </w:tc>
        <w:tc>
          <w:tcPr>
            <w:tcW w:w="2551"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专项经费全部及时到位，全部用于博物馆免费开放正常运转、展览提升、临时展览、业务技能培训，提高业务素质等</w:t>
            </w:r>
          </w:p>
        </w:tc>
        <w:tc>
          <w:tcPr>
            <w:tcW w:w="2268" w:type="dxa"/>
            <w:vAlign w:val="center"/>
          </w:tcPr>
          <w:p>
            <w:pPr>
              <w:jc w:val="left"/>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5"/>
            </w:pPr>
            <w:r>
              <w:t>效益指标</w:t>
            </w:r>
          </w:p>
        </w:tc>
        <w:tc>
          <w:tcPr>
            <w:tcW w:w="226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社会效益指标</w:t>
            </w:r>
          </w:p>
        </w:tc>
        <w:tc>
          <w:tcPr>
            <w:tcW w:w="2835"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管理运行与安全保障</w:t>
            </w:r>
          </w:p>
        </w:tc>
        <w:tc>
          <w:tcPr>
            <w:tcW w:w="2835"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管理运行与安全保障情况</w:t>
            </w:r>
          </w:p>
        </w:tc>
        <w:tc>
          <w:tcPr>
            <w:tcW w:w="2551" w:type="dxa"/>
            <w:vAlign w:val="center"/>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制度公开，适时公未参观制度，服务设施齐全，备有观众休息座椅和饮水处。安全制度和应急预案完善，并按制度定期培训和演练。有满足需求的安保人员，责任落实，安防设施齐备，运转良好，安全措施得当。</w:t>
            </w:r>
          </w:p>
        </w:tc>
        <w:tc>
          <w:tcPr>
            <w:tcW w:w="2268" w:type="dxa"/>
            <w:vAlign w:val="center"/>
          </w:tcPr>
          <w:p>
            <w:pPr>
              <w:pStyle w:val="34"/>
              <w:jc w:val="left"/>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5"/>
              <w:jc w:val="left"/>
            </w:pPr>
            <w:r>
              <w:t>满意度指标</w:t>
            </w:r>
          </w:p>
        </w:tc>
        <w:tc>
          <w:tcPr>
            <w:tcW w:w="2268" w:type="dxa"/>
            <w:vAlign w:val="center"/>
          </w:tcPr>
          <w:p>
            <w:pPr>
              <w:pStyle w:val="34"/>
              <w:jc w:val="left"/>
            </w:pPr>
            <w:r>
              <w:t>服务对象满意度指标</w:t>
            </w:r>
          </w:p>
        </w:tc>
        <w:tc>
          <w:tcPr>
            <w:tcW w:w="2835"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群众满意度指标</w:t>
            </w:r>
          </w:p>
        </w:tc>
        <w:tc>
          <w:tcPr>
            <w:tcW w:w="2835"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群众满意数量占总数的比例</w:t>
            </w:r>
          </w:p>
        </w:tc>
        <w:tc>
          <w:tcPr>
            <w:tcW w:w="2551" w:type="dxa"/>
            <w:vAlign w:val="center"/>
          </w:tcPr>
          <w:p>
            <w:pPr>
              <w:pStyle w:val="34"/>
              <w:jc w:val="left"/>
            </w:pPr>
            <w:r>
              <w:t>≥9</w:t>
            </w:r>
            <w:r>
              <w:rPr>
                <w:rFonts w:hint="eastAsia"/>
                <w:lang w:val="en-US" w:eastAsia="zh-CN"/>
              </w:rPr>
              <w:t>0</w:t>
            </w:r>
            <w:r>
              <w:t>%</w:t>
            </w:r>
          </w:p>
        </w:tc>
        <w:tc>
          <w:tcPr>
            <w:tcW w:w="2268" w:type="dxa"/>
            <w:vAlign w:val="center"/>
          </w:tcPr>
          <w:p>
            <w:pPr>
              <w:pStyle w:val="34"/>
              <w:jc w:val="left"/>
            </w:pPr>
            <w:r>
              <w:t>满意度测评</w:t>
            </w:r>
          </w:p>
        </w:tc>
      </w:tr>
    </w:tbl>
    <w:p>
      <w:pPr>
        <w:pStyle w:val="32"/>
      </w:pPr>
    </w:p>
    <w:p>
      <w:pPr>
        <w:pStyle w:val="32"/>
        <w:ind w:firstLine="560"/>
        <w:rPr>
          <w:rFonts w:ascii="方正仿宋_GBK" w:hAnsi="方正仿宋_GBK" w:eastAsia="方正仿宋_GBK" w:cs="方正仿宋_GBK"/>
          <w:b/>
          <w:color w:val="000000"/>
          <w:sz w:val="28"/>
        </w:rPr>
      </w:pPr>
    </w:p>
    <w:p>
      <w:pPr>
        <w:pStyle w:val="32"/>
        <w:ind w:firstLine="560"/>
        <w:rPr>
          <w:rFonts w:ascii="方正仿宋_GBK" w:hAnsi="方正仿宋_GBK" w:eastAsia="方正仿宋_GBK" w:cs="方正仿宋_GBK"/>
          <w:b/>
          <w:color w:val="000000"/>
          <w:sz w:val="28"/>
        </w:rPr>
      </w:pPr>
    </w:p>
    <w:p>
      <w:pPr>
        <w:pStyle w:val="32"/>
        <w:ind w:firstLine="560"/>
        <w:rPr>
          <w:rFonts w:ascii="方正仿宋_GBK" w:hAnsi="方正仿宋_GBK" w:eastAsia="方正仿宋_GBK" w:cs="方正仿宋_GBK"/>
          <w:b/>
          <w:color w:val="000000"/>
          <w:sz w:val="28"/>
        </w:rPr>
      </w:pPr>
    </w:p>
    <w:p>
      <w:pPr>
        <w:pStyle w:val="32"/>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省级文物保护专项资金</w:t>
      </w: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rPr>
                <w:rFonts w:hint="eastAsia"/>
              </w:rPr>
              <w:t>重点完成文物保护范围内的大望圈北侧石壁、主峰石壁，小望圈北侧、庙洼顶部石壁、部分山体、增加视频监控系统、应急系统、安防供配电及防雷系统、远程传输、监控中心机房建设。</w:t>
            </w:r>
          </w:p>
        </w:tc>
      </w:tr>
    </w:tbl>
    <w:p>
      <w:pPr>
        <w:pStyle w:val="32"/>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5"/>
            </w:pPr>
            <w:r>
              <w:t>产出指标</w:t>
            </w:r>
          </w:p>
        </w:tc>
        <w:tc>
          <w:tcPr>
            <w:tcW w:w="226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省级资金安排文物保护项目数量</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项目包括大望圈北侧石壁、主峰石壁，小望圈北侧、庙洼顶部石壁、部分山体。</w:t>
            </w:r>
          </w:p>
        </w:tc>
        <w:tc>
          <w:tcPr>
            <w:tcW w:w="255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项目包括大望圈北侧石壁、主峰石壁，小望圈北侧、庙洼顶部石壁、部分山体。</w:t>
            </w:r>
          </w:p>
        </w:tc>
        <w:tc>
          <w:tcPr>
            <w:tcW w:w="2268" w:type="dxa"/>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质量指标</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本工程的实施符合文物保护有关规程</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达到设计方案要求</w:t>
            </w:r>
          </w:p>
        </w:tc>
        <w:tc>
          <w:tcPr>
            <w:tcW w:w="255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达到设计方案要求</w:t>
            </w:r>
          </w:p>
        </w:tc>
        <w:tc>
          <w:tcPr>
            <w:tcW w:w="2268" w:type="dxa"/>
            <w:vAlign w:val="center"/>
          </w:tcPr>
          <w:p>
            <w:pPr>
              <w:pStyle w:val="3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时效指标</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项目开始与完成期限</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按合同要求，按期完成</w:t>
            </w:r>
          </w:p>
        </w:tc>
        <w:tc>
          <w:tcPr>
            <w:tcW w:w="255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按合同要求，按期完成</w:t>
            </w:r>
          </w:p>
        </w:tc>
        <w:tc>
          <w:tcPr>
            <w:tcW w:w="2268" w:type="dxa"/>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成本指标</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黄崖寺塔群安全防范工程项目预算</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严格按照河北省文物局下拨资金数量进行项目实施。</w:t>
            </w:r>
          </w:p>
        </w:tc>
        <w:tc>
          <w:tcPr>
            <w:tcW w:w="255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严格按照河北省文物局下拨资金数量进行项目实施。</w:t>
            </w:r>
          </w:p>
        </w:tc>
        <w:tc>
          <w:tcPr>
            <w:tcW w:w="2268" w:type="dxa"/>
            <w:vAlign w:val="center"/>
          </w:tcPr>
          <w:p>
            <w:pPr>
              <w:pStyle w:val="3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5"/>
            </w:pPr>
            <w:r>
              <w:t>效益指标</w:t>
            </w:r>
          </w:p>
        </w:tc>
        <w:tc>
          <w:tcPr>
            <w:tcW w:w="2268" w:type="dxa"/>
            <w:vAlign w:val="center"/>
          </w:tcPr>
          <w:p>
            <w:pPr>
              <w:pStyle w:val="34"/>
            </w:pPr>
            <w:r>
              <w:t>社会效益指标</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文物与文化遗产得到有效保护。</w:t>
            </w:r>
          </w:p>
        </w:tc>
        <w:tc>
          <w:tcPr>
            <w:tcW w:w="28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文物与文化遗产得到有效保护。</w:t>
            </w:r>
          </w:p>
        </w:tc>
        <w:tc>
          <w:tcPr>
            <w:tcW w:w="2551" w:type="dxa"/>
            <w:vAlign w:val="center"/>
          </w:tcPr>
          <w:p>
            <w:pPr>
              <w:pStyle w:val="34"/>
            </w:pPr>
            <w:r>
              <w:rPr>
                <w:rFonts w:hint="default" w:ascii="Calibri" w:hAnsi="Calibri" w:eastAsia="宋体" w:cs="Calibri"/>
                <w:i w:val="0"/>
                <w:iCs w:val="0"/>
                <w:color w:val="000000"/>
                <w:kern w:val="0"/>
                <w:sz w:val="22"/>
                <w:szCs w:val="22"/>
                <w:u w:val="none"/>
                <w:lang w:val="en-US" w:eastAsia="zh-CN" w:bidi="ar"/>
              </w:rPr>
              <w:t>文物与文化遗产得到有效保护。</w:t>
            </w:r>
          </w:p>
        </w:tc>
        <w:tc>
          <w:tcPr>
            <w:tcW w:w="2268" w:type="dxa"/>
            <w:vAlign w:val="center"/>
          </w:tcPr>
          <w:p>
            <w:pPr>
              <w:pStyle w:val="3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服务对象满意度指标</w:t>
            </w:r>
          </w:p>
        </w:tc>
        <w:tc>
          <w:tcPr>
            <w:tcW w:w="2835" w:type="dxa"/>
            <w:vAlign w:val="center"/>
          </w:tcPr>
          <w:p>
            <w:pPr>
              <w:pStyle w:val="34"/>
            </w:pPr>
            <w:r>
              <w:t>服务对象满意度指</w:t>
            </w:r>
          </w:p>
        </w:tc>
        <w:tc>
          <w:tcPr>
            <w:tcW w:w="2551" w:type="dxa"/>
            <w:vAlign w:val="center"/>
          </w:tcPr>
          <w:p>
            <w:pPr>
              <w:pStyle w:val="34"/>
            </w:pPr>
            <w:r>
              <w:t>≥9</w:t>
            </w:r>
            <w:r>
              <w:rPr>
                <w:rFonts w:hint="eastAsia"/>
                <w:lang w:val="en-US" w:eastAsia="zh-CN"/>
              </w:rPr>
              <w:t>0</w:t>
            </w:r>
            <w:r>
              <w:t>%</w:t>
            </w:r>
          </w:p>
        </w:tc>
        <w:tc>
          <w:tcPr>
            <w:tcW w:w="2268" w:type="dxa"/>
            <w:vAlign w:val="center"/>
          </w:tcPr>
          <w:p>
            <w:pPr>
              <w:pStyle w:val="34"/>
            </w:pPr>
            <w:r>
              <w:t>满意度测评</w:t>
            </w:r>
          </w:p>
        </w:tc>
      </w:tr>
    </w:tbl>
    <w:p>
      <w:pPr>
        <w:pStyle w:val="32"/>
      </w:pPr>
    </w:p>
    <w:p>
      <w:pPr>
        <w:pStyle w:val="32"/>
        <w:ind w:firstLine="560"/>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w:t>
      </w:r>
      <w:r>
        <w:rPr>
          <w:rFonts w:hint="eastAsia" w:eastAsia="方正仿宋_GBK"/>
          <w:color w:val="000000"/>
          <w:sz w:val="28"/>
          <w:lang w:val="en-US" w:eastAsia="zh-CN"/>
        </w:rPr>
        <w:t>宽城满族自治旅游和文化广电局本级</w:t>
      </w:r>
      <w:r>
        <w:rPr>
          <w:rFonts w:eastAsia="方正仿宋_GBK"/>
          <w:color w:val="000000"/>
          <w:sz w:val="28"/>
        </w:rPr>
        <w:t>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2"/>
        <w:tblW w:w="148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5"/>
        <w:gridCol w:w="776"/>
        <w:gridCol w:w="1046"/>
        <w:gridCol w:w="1095"/>
        <w:gridCol w:w="836"/>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1" w:hRule="atLeast"/>
          <w:tblHeader/>
          <w:jc w:val="center"/>
        </w:trPr>
        <w:tc>
          <w:tcPr>
            <w:tcW w:w="6188" w:type="dxa"/>
            <w:gridSpan w:val="7"/>
            <w:tcBorders>
              <w:top w:val="single" w:color="FFFFFF" w:sz="6" w:space="0"/>
              <w:left w:val="single" w:color="FFFFFF" w:sz="6" w:space="0"/>
              <w:right w:val="single" w:color="FFFFFF" w:sz="6" w:space="0"/>
            </w:tcBorders>
            <w:vAlign w:val="center"/>
          </w:tcPr>
          <w:p>
            <w:pPr>
              <w:pStyle w:val="17"/>
              <w:rPr>
                <w:rFonts w:hint="default" w:eastAsia="方正小标宋_GBK"/>
                <w:lang w:val="en-US" w:eastAsia="zh-CN"/>
              </w:rPr>
            </w:pPr>
            <w:r>
              <w:rPr>
                <w:rFonts w:hint="eastAsia"/>
                <w:lang w:val="en-US" w:eastAsia="zh-CN"/>
              </w:rPr>
              <w:t>357001宽城满族自治县旅游和文化广电局本级</w:t>
            </w:r>
          </w:p>
        </w:tc>
        <w:tc>
          <w:tcPr>
            <w:tcW w:w="8676" w:type="dxa"/>
            <w:gridSpan w:val="9"/>
            <w:tcBorders>
              <w:top w:val="single" w:color="FFFFFF" w:sz="6" w:space="0"/>
              <w:left w:val="single" w:color="FFFFFF" w:sz="6" w:space="0"/>
              <w:right w:val="single" w:color="FFFFFF" w:sz="6" w:space="0"/>
            </w:tcBorders>
            <w:vAlign w:val="center"/>
          </w:tcPr>
          <w:p>
            <w:pPr>
              <w:pStyle w:val="3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11" w:type="dxa"/>
            <w:gridSpan w:val="2"/>
            <w:vAlign w:val="center"/>
          </w:tcPr>
          <w:p>
            <w:pPr>
              <w:pStyle w:val="18"/>
            </w:pPr>
            <w:r>
              <w:t>政府采购</w:t>
            </w:r>
          </w:p>
          <w:p>
            <w:pPr>
              <w:pStyle w:val="18"/>
            </w:pPr>
            <w:r>
              <w:t>项目来源</w:t>
            </w:r>
          </w:p>
        </w:tc>
        <w:tc>
          <w:tcPr>
            <w:tcW w:w="1046" w:type="dxa"/>
            <w:vMerge w:val="restart"/>
            <w:vAlign w:val="center"/>
          </w:tcPr>
          <w:p>
            <w:pPr>
              <w:pStyle w:val="18"/>
            </w:pPr>
            <w:r>
              <w:t>采购物品名称</w:t>
            </w:r>
          </w:p>
        </w:tc>
        <w:tc>
          <w:tcPr>
            <w:tcW w:w="1095" w:type="dxa"/>
            <w:vMerge w:val="restart"/>
            <w:vAlign w:val="center"/>
          </w:tcPr>
          <w:p>
            <w:pPr>
              <w:pStyle w:val="18"/>
            </w:pPr>
            <w:r>
              <w:t>政府采购目录序号</w:t>
            </w:r>
          </w:p>
        </w:tc>
        <w:tc>
          <w:tcPr>
            <w:tcW w:w="836"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2"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 w:type="dxa"/>
            <w:vAlign w:val="center"/>
          </w:tcPr>
          <w:p>
            <w:pPr>
              <w:pStyle w:val="18"/>
            </w:pPr>
            <w:r>
              <w:t>项目名称</w:t>
            </w:r>
          </w:p>
        </w:tc>
        <w:tc>
          <w:tcPr>
            <w:tcW w:w="776" w:type="dxa"/>
            <w:vAlign w:val="center"/>
          </w:tcPr>
          <w:p>
            <w:pPr>
              <w:pStyle w:val="18"/>
            </w:pPr>
            <w:r>
              <w:t>预算    资金</w:t>
            </w:r>
          </w:p>
        </w:tc>
        <w:tc>
          <w:tcPr>
            <w:tcW w:w="1046" w:type="dxa"/>
            <w:vMerge w:val="continue"/>
          </w:tcPr>
          <w:p/>
        </w:tc>
        <w:tc>
          <w:tcPr>
            <w:tcW w:w="1095" w:type="dxa"/>
            <w:vMerge w:val="continue"/>
          </w:tcPr>
          <w:p/>
        </w:tc>
        <w:tc>
          <w:tcPr>
            <w:tcW w:w="836" w:type="dxa"/>
            <w:vMerge w:val="continue"/>
          </w:tcPr>
          <w:p/>
        </w:tc>
        <w:tc>
          <w:tcPr>
            <w:tcW w:w="850" w:type="dxa"/>
            <w:vMerge w:val="continue"/>
          </w:tcPr>
          <w:p/>
        </w:tc>
        <w:tc>
          <w:tcPr>
            <w:tcW w:w="850" w:type="dxa"/>
            <w:vMerge w:val="continu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5" w:type="dxa"/>
            <w:vAlign w:val="center"/>
          </w:tcPr>
          <w:p>
            <w:pPr>
              <w:pStyle w:val="22"/>
              <w:rPr>
                <w:rFonts w:hint="eastAsia" w:eastAsia="方正书宋_GBK"/>
                <w:lang w:val="en-US" w:eastAsia="zh-CN"/>
              </w:rPr>
            </w:pPr>
            <w:r>
              <w:rPr>
                <w:rFonts w:hint="eastAsia"/>
                <w:lang w:val="en-US" w:eastAsia="zh-CN"/>
              </w:rPr>
              <w:t>无</w:t>
            </w:r>
          </w:p>
        </w:tc>
        <w:tc>
          <w:tcPr>
            <w:tcW w:w="776" w:type="dxa"/>
            <w:vAlign w:val="center"/>
          </w:tcPr>
          <w:p>
            <w:pPr>
              <w:pStyle w:val="23"/>
            </w:pPr>
          </w:p>
        </w:tc>
        <w:tc>
          <w:tcPr>
            <w:tcW w:w="1046" w:type="dxa"/>
            <w:vAlign w:val="center"/>
          </w:tcPr>
          <w:p>
            <w:pPr>
              <w:pStyle w:val="24"/>
            </w:pPr>
          </w:p>
        </w:tc>
        <w:tc>
          <w:tcPr>
            <w:tcW w:w="1095" w:type="dxa"/>
            <w:vAlign w:val="center"/>
          </w:tcPr>
          <w:p>
            <w:pPr>
              <w:pStyle w:val="24"/>
            </w:pPr>
          </w:p>
        </w:tc>
        <w:tc>
          <w:tcPr>
            <w:tcW w:w="836"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5" w:type="dxa"/>
            <w:vAlign w:val="center"/>
          </w:tcPr>
          <w:p>
            <w:pPr>
              <w:pStyle w:val="22"/>
            </w:pPr>
          </w:p>
        </w:tc>
        <w:tc>
          <w:tcPr>
            <w:tcW w:w="776" w:type="dxa"/>
            <w:vAlign w:val="center"/>
          </w:tcPr>
          <w:p>
            <w:pPr>
              <w:pStyle w:val="23"/>
            </w:pPr>
          </w:p>
        </w:tc>
        <w:tc>
          <w:tcPr>
            <w:tcW w:w="1046" w:type="dxa"/>
            <w:vAlign w:val="center"/>
          </w:tcPr>
          <w:p>
            <w:pPr>
              <w:pStyle w:val="24"/>
            </w:pPr>
          </w:p>
        </w:tc>
        <w:tc>
          <w:tcPr>
            <w:tcW w:w="1095" w:type="dxa"/>
            <w:vAlign w:val="center"/>
          </w:tcPr>
          <w:p>
            <w:pPr>
              <w:pStyle w:val="24"/>
            </w:pPr>
          </w:p>
        </w:tc>
        <w:tc>
          <w:tcPr>
            <w:tcW w:w="836"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lang w:val="en-US" w:eastAsia="zh-CN"/>
        </w:rPr>
        <w:t>宽城满族自治县旅游和文化广电局本级</w:t>
      </w:r>
      <w:r>
        <w:rPr>
          <w:rFonts w:eastAsia="方正仿宋_GBK"/>
          <w:color w:val="000000"/>
          <w:sz w:val="28"/>
        </w:rPr>
        <w:t>上年末固定资产金额为</w:t>
      </w:r>
      <w:r>
        <w:rPr>
          <w:rFonts w:hint="eastAsia" w:eastAsia="方正仿宋_GBK"/>
          <w:color w:val="000000"/>
          <w:sz w:val="28"/>
          <w:lang w:val="en-US" w:eastAsia="zh-CN"/>
        </w:rPr>
        <w:t>75.86</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7"/>
              <w:rPr>
                <w:rFonts w:hint="default" w:eastAsia="方正小标宋_GBK"/>
                <w:lang w:val="en-US" w:eastAsia="zh-CN"/>
              </w:rPr>
            </w:pPr>
            <w:r>
              <w:rPr>
                <w:rFonts w:hint="eastAsia"/>
                <w:lang w:val="en-US" w:eastAsia="zh-CN"/>
              </w:rPr>
              <w:t>357001宽城满族自治县旅游和文化广电局</w:t>
            </w:r>
          </w:p>
        </w:tc>
        <w:tc>
          <w:tcPr>
            <w:tcW w:w="5669" w:type="dxa"/>
            <w:gridSpan w:val="2"/>
            <w:tcBorders>
              <w:top w:val="single" w:color="FFFFFF" w:sz="6" w:space="0"/>
              <w:left w:val="single" w:color="FFFFFF" w:sz="6" w:space="0"/>
              <w:right w:val="single" w:color="FFFFFF" w:sz="6" w:space="0"/>
            </w:tcBorders>
            <w:vAlign w:val="center"/>
          </w:tcPr>
          <w:p>
            <w:pPr>
              <w:pStyle w:val="1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资产总额</w:t>
            </w:r>
          </w:p>
        </w:tc>
        <w:tc>
          <w:tcPr>
            <w:tcW w:w="2835" w:type="dxa"/>
            <w:vAlign w:val="center"/>
          </w:tcPr>
          <w:p>
            <w:pPr>
              <w:pStyle w:val="21"/>
            </w:pPr>
          </w:p>
        </w:tc>
        <w:tc>
          <w:tcPr>
            <w:tcW w:w="2835" w:type="dxa"/>
            <w:vAlign w:val="center"/>
          </w:tcPr>
          <w:p>
            <w:pPr>
              <w:pStyle w:val="19"/>
              <w:jc w:val="center"/>
              <w:rPr>
                <w:rFonts w:hint="default" w:eastAsia="方正书宋_GBK"/>
                <w:lang w:val="en-US" w:eastAsia="zh-CN"/>
              </w:rPr>
            </w:pPr>
            <w:r>
              <w:rPr>
                <w:rFonts w:hint="eastAsia"/>
                <w:lang w:val="en-US" w:eastAsia="zh-CN"/>
              </w:rPr>
              <w:t>75.86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1、房屋（平方米）</w:t>
            </w:r>
          </w:p>
        </w:tc>
        <w:tc>
          <w:tcPr>
            <w:tcW w:w="2835" w:type="dxa"/>
            <w:vAlign w:val="center"/>
          </w:tcPr>
          <w:p>
            <w:pPr>
              <w:pStyle w:val="21"/>
              <w:rPr>
                <w:rFonts w:hint="default" w:eastAsia="方正书宋_GBK"/>
                <w:lang w:val="en-US" w:eastAsia="zh-CN"/>
              </w:rPr>
            </w:pPr>
            <w:r>
              <w:rPr>
                <w:rFonts w:hint="eastAsia"/>
                <w:lang w:val="en-US" w:eastAsia="zh-CN"/>
              </w:rPr>
              <w:t>332.62</w:t>
            </w:r>
          </w:p>
        </w:tc>
        <w:tc>
          <w:tcPr>
            <w:tcW w:w="2835" w:type="dxa"/>
            <w:vAlign w:val="center"/>
          </w:tcPr>
          <w:p>
            <w:pPr>
              <w:pStyle w:val="19"/>
              <w:jc w:val="center"/>
              <w:rPr>
                <w:rFonts w:hint="default" w:eastAsia="方正书宋_GBK"/>
                <w:lang w:val="en-US" w:eastAsia="zh-CN"/>
              </w:rPr>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　　其中：办公用房（平方米）</w:t>
            </w:r>
          </w:p>
        </w:tc>
        <w:tc>
          <w:tcPr>
            <w:tcW w:w="2835" w:type="dxa"/>
            <w:vAlign w:val="center"/>
          </w:tcPr>
          <w:p>
            <w:pPr>
              <w:pStyle w:val="21"/>
              <w:rPr>
                <w:rFonts w:hint="default" w:eastAsia="方正书宋_GBK"/>
                <w:lang w:val="en-US" w:eastAsia="zh-CN"/>
              </w:rPr>
            </w:pPr>
            <w:r>
              <w:rPr>
                <w:rFonts w:hint="eastAsia"/>
                <w:lang w:val="en-US" w:eastAsia="zh-CN"/>
              </w:rPr>
              <w:t>168.18</w:t>
            </w:r>
          </w:p>
        </w:tc>
        <w:tc>
          <w:tcPr>
            <w:tcW w:w="2835" w:type="dxa"/>
            <w:vAlign w:val="center"/>
          </w:tcPr>
          <w:p>
            <w:pPr>
              <w:pStyle w:val="19"/>
              <w:jc w:val="center"/>
              <w:rPr>
                <w:rFonts w:hint="default" w:eastAsia="方正书宋_GBK"/>
                <w:lang w:val="en-US" w:eastAsia="zh-CN"/>
              </w:rPr>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2、车辆（台、辆）</w:t>
            </w:r>
          </w:p>
        </w:tc>
        <w:tc>
          <w:tcPr>
            <w:tcW w:w="2835" w:type="dxa"/>
            <w:vAlign w:val="center"/>
          </w:tcPr>
          <w:p>
            <w:pPr>
              <w:pStyle w:val="21"/>
              <w:rPr>
                <w:rFonts w:hint="eastAsia" w:eastAsia="方正书宋_GBK"/>
                <w:lang w:eastAsia="zh-CN"/>
              </w:rPr>
            </w:pPr>
            <w:r>
              <w:rPr>
                <w:rFonts w:hint="eastAsia"/>
                <w:lang w:val="en-US" w:eastAsia="zh-CN"/>
              </w:rPr>
              <w:t>2</w:t>
            </w:r>
          </w:p>
        </w:tc>
        <w:tc>
          <w:tcPr>
            <w:tcW w:w="2835" w:type="dxa"/>
            <w:vAlign w:val="center"/>
          </w:tcPr>
          <w:p>
            <w:pPr>
              <w:pStyle w:val="19"/>
              <w:jc w:val="center"/>
              <w:rPr>
                <w:rFonts w:hint="default" w:eastAsia="方正书宋_GBK"/>
                <w:lang w:val="en-US" w:eastAsia="zh-CN"/>
              </w:rPr>
            </w:pPr>
            <w:r>
              <w:rPr>
                <w:rFonts w:hint="eastAsia"/>
                <w:lang w:val="en-US" w:eastAsia="zh-CN"/>
              </w:rPr>
              <w:t>29.66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3、单价在20万元以上的设备</w:t>
            </w:r>
          </w:p>
        </w:tc>
        <w:tc>
          <w:tcPr>
            <w:tcW w:w="2835" w:type="dxa"/>
            <w:vAlign w:val="center"/>
          </w:tcPr>
          <w:p>
            <w:pPr>
              <w:pStyle w:val="21"/>
              <w:rPr>
                <w:rFonts w:hint="default" w:eastAsia="方正书宋_GBK"/>
                <w:lang w:val="en-US" w:eastAsia="zh-CN"/>
              </w:rPr>
            </w:pPr>
            <w:r>
              <w:rPr>
                <w:rFonts w:hint="eastAsia"/>
                <w:lang w:val="en-US" w:eastAsia="zh-CN"/>
              </w:rPr>
              <w:t>----</w:t>
            </w:r>
          </w:p>
        </w:tc>
        <w:tc>
          <w:tcPr>
            <w:tcW w:w="2835" w:type="dxa"/>
            <w:vAlign w:val="center"/>
          </w:tcPr>
          <w:p>
            <w:pPr>
              <w:pStyle w:val="19"/>
              <w:jc w:val="center"/>
              <w:rPr>
                <w:rFonts w:hint="default" w:eastAsia="方正书宋_GBK"/>
                <w:lang w:val="en-US" w:eastAsia="zh-CN"/>
              </w:rPr>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4、其他固定资产</w:t>
            </w:r>
          </w:p>
        </w:tc>
        <w:tc>
          <w:tcPr>
            <w:tcW w:w="2835" w:type="dxa"/>
            <w:vAlign w:val="center"/>
          </w:tcPr>
          <w:p>
            <w:pPr>
              <w:pStyle w:val="21"/>
              <w:rPr>
                <w:rFonts w:hint="default" w:eastAsia="方正书宋_GBK"/>
                <w:lang w:val="en-US" w:eastAsia="zh-CN"/>
              </w:rPr>
            </w:pPr>
            <w:r>
              <w:rPr>
                <w:rFonts w:hint="eastAsia"/>
                <w:lang w:val="en-US" w:eastAsia="zh-CN"/>
              </w:rPr>
              <w:t>245</w:t>
            </w:r>
          </w:p>
        </w:tc>
        <w:tc>
          <w:tcPr>
            <w:tcW w:w="2835" w:type="dxa"/>
            <w:vAlign w:val="center"/>
          </w:tcPr>
          <w:p>
            <w:pPr>
              <w:pStyle w:val="19"/>
              <w:jc w:val="center"/>
              <w:rPr>
                <w:rFonts w:hint="default" w:eastAsia="方正书宋_GBK"/>
                <w:lang w:val="en-US" w:eastAsia="zh-CN"/>
              </w:rPr>
            </w:pPr>
            <w:r>
              <w:rPr>
                <w:rFonts w:hint="eastAsia"/>
                <w:lang w:val="en-US" w:eastAsia="zh-CN"/>
              </w:rPr>
              <w:t>46.20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rPr>
          <w:rFonts w:hint="eastAsia" w:eastAsia="方正仿宋_GBK"/>
          <w:color w:val="000000"/>
          <w:sz w:val="28"/>
          <w:lang w:val="en-US" w:eastAsia="zh-CN"/>
        </w:rPr>
      </w:pPr>
      <w:bookmarkStart w:id="17" w:name="_Toc_3_3_0000000018"/>
      <w:r>
        <w:rPr>
          <w:rFonts w:hint="eastAsia" w:eastAsia="方正仿宋_GBK"/>
          <w:b/>
          <w:bCs/>
          <w:color w:val="000000"/>
          <w:sz w:val="28"/>
          <w:lang w:val="en-US" w:eastAsia="zh-CN"/>
        </w:rPr>
        <w:t>1、财政拨款收入：</w:t>
      </w:r>
      <w:r>
        <w:rPr>
          <w:rFonts w:hint="eastAsia" w:eastAsia="方正仿宋_GBK"/>
          <w:color w:val="000000"/>
          <w:sz w:val="28"/>
          <w:lang w:val="en-US" w:eastAsia="zh-CN"/>
        </w:rPr>
        <w:t>本年度从本级财政部门取得的财政拨款，包括一般公共预算财政拨款和政府性基金预算财政拨款。</w:t>
      </w:r>
    </w:p>
    <w:p>
      <w:pPr>
        <w:spacing w:line="500" w:lineRule="exact"/>
        <w:ind w:firstLine="560"/>
        <w:rPr>
          <w:rFonts w:hint="eastAsia" w:eastAsia="方正仿宋_GBK"/>
          <w:color w:val="000000"/>
          <w:sz w:val="28"/>
          <w:lang w:val="en-US" w:eastAsia="zh-CN"/>
        </w:rPr>
      </w:pPr>
      <w:r>
        <w:rPr>
          <w:rFonts w:hint="eastAsia" w:eastAsia="方正仿宋_GBK"/>
          <w:b/>
          <w:bCs/>
          <w:color w:val="000000"/>
          <w:sz w:val="28"/>
          <w:lang w:val="en-US" w:eastAsia="zh-CN"/>
        </w:rPr>
        <w:t>2、基本支出：</w:t>
      </w:r>
      <w:r>
        <w:rPr>
          <w:rFonts w:hint="eastAsia" w:eastAsia="方正仿宋_GBK"/>
          <w:color w:val="000000"/>
          <w:sz w:val="28"/>
          <w:lang w:val="en-US" w:eastAsia="zh-CN"/>
        </w:rPr>
        <w:t>填列单位为保障机构正常运转、完成日常工作任务而发生的各项支出。</w:t>
      </w:r>
    </w:p>
    <w:p>
      <w:pPr>
        <w:spacing w:line="500" w:lineRule="exact"/>
        <w:ind w:firstLine="560"/>
        <w:rPr>
          <w:rFonts w:hint="eastAsia" w:eastAsia="方正仿宋_GBK"/>
          <w:color w:val="000000"/>
          <w:sz w:val="28"/>
          <w:lang w:val="en-US" w:eastAsia="zh-CN"/>
        </w:rPr>
      </w:pPr>
      <w:r>
        <w:rPr>
          <w:rFonts w:hint="eastAsia" w:eastAsia="方正仿宋_GBK"/>
          <w:b/>
          <w:bCs/>
          <w:color w:val="000000"/>
          <w:sz w:val="28"/>
          <w:lang w:val="en-US" w:eastAsia="zh-CN"/>
        </w:rPr>
        <w:t>3、项目支出：</w:t>
      </w:r>
      <w:r>
        <w:rPr>
          <w:rFonts w:hint="eastAsia" w:eastAsia="方正仿宋_GBK"/>
          <w:color w:val="000000"/>
          <w:sz w:val="28"/>
          <w:lang w:val="en-US" w:eastAsia="zh-CN"/>
        </w:rPr>
        <w:t>填列单位为完成特定的行政工作任务或事业发展目标，在基本支出之外发生的各项支出</w:t>
      </w:r>
    </w:p>
    <w:p>
      <w:pPr>
        <w:spacing w:line="500" w:lineRule="exact"/>
        <w:ind w:firstLine="560"/>
        <w:rPr>
          <w:rFonts w:hint="eastAsia" w:eastAsia="方正仿宋_GBK"/>
          <w:color w:val="000000"/>
          <w:sz w:val="28"/>
          <w:lang w:val="en-US" w:eastAsia="zh-CN"/>
        </w:rPr>
      </w:pPr>
      <w:r>
        <w:rPr>
          <w:rFonts w:hint="eastAsia" w:eastAsia="方正仿宋_GBK"/>
          <w:b/>
          <w:bCs/>
          <w:color w:val="000000"/>
          <w:sz w:val="28"/>
          <w:lang w:val="en-US" w:eastAsia="zh-CN"/>
        </w:rPr>
        <w:t>4、“三公”经费：</w:t>
      </w:r>
      <w:r>
        <w:rPr>
          <w:rFonts w:hint="eastAsia" w:eastAsia="方正仿宋_GBK"/>
          <w:color w:val="000000"/>
          <w:sz w:val="28"/>
          <w:lang w:val="en-US" w:eastAsia="zh-CN"/>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spacing w:line="500" w:lineRule="exact"/>
        <w:ind w:firstLine="560"/>
        <w:rPr>
          <w:rFonts w:hint="eastAsia" w:eastAsia="方正仿宋_GBK"/>
          <w:color w:val="000000"/>
          <w:sz w:val="28"/>
          <w:lang w:val="en-US" w:eastAsia="zh-CN"/>
        </w:rPr>
      </w:pPr>
      <w:r>
        <w:rPr>
          <w:rFonts w:hint="eastAsia" w:eastAsia="方正仿宋_GBK"/>
          <w:b/>
          <w:bCs/>
          <w:color w:val="000000"/>
          <w:sz w:val="28"/>
          <w:lang w:val="en-US" w:eastAsia="zh-CN"/>
        </w:rPr>
        <w:t>5、其他交通费用：</w:t>
      </w:r>
      <w:r>
        <w:rPr>
          <w:rFonts w:hint="eastAsia" w:eastAsia="方正仿宋_GBK"/>
          <w:color w:val="000000"/>
          <w:sz w:val="28"/>
          <w:lang w:val="en-US" w:eastAsia="zh-CN"/>
        </w:rPr>
        <w:t>填列单位除公务用车运行维护费以外的其他交通费用。如飞机、船舶等的燃料费、维修费、过桥过路费、保险费、出租车费用、公务交通补贴等。</w:t>
      </w:r>
    </w:p>
    <w:p>
      <w:pPr>
        <w:spacing w:line="500" w:lineRule="exact"/>
        <w:ind w:firstLine="560"/>
        <w:rPr>
          <w:rFonts w:hint="eastAsia" w:eastAsia="方正仿宋_GBK"/>
          <w:color w:val="000000"/>
          <w:sz w:val="28"/>
          <w:lang w:val="en-US" w:eastAsia="zh-CN"/>
        </w:rPr>
      </w:pPr>
      <w:r>
        <w:rPr>
          <w:rFonts w:hint="eastAsia" w:eastAsia="方正仿宋_GBK"/>
          <w:b/>
          <w:bCs/>
          <w:color w:val="000000"/>
          <w:sz w:val="28"/>
          <w:lang w:val="en-US" w:eastAsia="zh-CN"/>
        </w:rPr>
        <w:t>6、机关运行经费：</w:t>
      </w:r>
      <w:r>
        <w:rPr>
          <w:rFonts w:hint="eastAsia" w:eastAsia="方正仿宋_GBK"/>
          <w:color w:val="000000"/>
          <w:sz w:val="28"/>
          <w:lang w:val="en-US" w:eastAsia="zh-CN"/>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before="10" w:after="10"/>
        <w:ind w:firstLine="640" w:firstLineChars="200"/>
        <w:outlineLvl w:val="2"/>
      </w:pPr>
      <w:r>
        <w:rPr>
          <w:rFonts w:ascii="黑体" w:hAnsi="黑体" w:eastAsia="黑体" w:cs="黑体"/>
          <w:color w:val="000000"/>
          <w:sz w:val="32"/>
        </w:rPr>
        <w:t>九、其他需要说明的事项</w:t>
      </w:r>
      <w:bookmarkEnd w:id="17"/>
    </w:p>
    <w:p>
      <w:pPr>
        <w:spacing w:line="500" w:lineRule="exact"/>
        <w:ind w:firstLine="560"/>
        <w:rPr>
          <w:lang w:val="uk-UA"/>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4CAC6"/>
    <w:multiLevelType w:val="singleLevel"/>
    <w:tmpl w:val="0CB4CAC6"/>
    <w:lvl w:ilvl="0" w:tentative="0">
      <w:start w:val="3"/>
      <w:numFmt w:val="chineseCounting"/>
      <w:suff w:val="nothing"/>
      <w:lvlText w:val="%1、"/>
      <w:lvlJc w:val="left"/>
      <w:rPr>
        <w:rFonts w:hint="eastAsia"/>
      </w:rPr>
    </w:lvl>
  </w:abstractNum>
  <w:abstractNum w:abstractNumId="1">
    <w:nsid w:val="13F8CA49"/>
    <w:multiLevelType w:val="singleLevel"/>
    <w:tmpl w:val="13F8CA49"/>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NWUxODM5Y2VmN2IzNGQxMGU4NjliZTNlZjZhOTEifQ=="/>
  </w:docVars>
  <w:rsids>
    <w:rsidRoot w:val="009156A2"/>
    <w:rsid w:val="000344B0"/>
    <w:rsid w:val="0038060A"/>
    <w:rsid w:val="004038ED"/>
    <w:rsid w:val="00441C9E"/>
    <w:rsid w:val="0044434F"/>
    <w:rsid w:val="00623C54"/>
    <w:rsid w:val="007452D6"/>
    <w:rsid w:val="007E1185"/>
    <w:rsid w:val="008F1F47"/>
    <w:rsid w:val="00903E93"/>
    <w:rsid w:val="009156A2"/>
    <w:rsid w:val="00B675FA"/>
    <w:rsid w:val="00D97FD4"/>
    <w:rsid w:val="00DC1901"/>
    <w:rsid w:val="00EA7921"/>
    <w:rsid w:val="00F717D0"/>
    <w:rsid w:val="00FD5EFC"/>
    <w:rsid w:val="0BE70AFB"/>
    <w:rsid w:val="16B50DC8"/>
    <w:rsid w:val="16CB1E6E"/>
    <w:rsid w:val="1C876837"/>
    <w:rsid w:val="20016901"/>
    <w:rsid w:val="20DD2ECA"/>
    <w:rsid w:val="23566F63"/>
    <w:rsid w:val="25644461"/>
    <w:rsid w:val="26284BE7"/>
    <w:rsid w:val="265C6F87"/>
    <w:rsid w:val="27C546B8"/>
    <w:rsid w:val="2F320885"/>
    <w:rsid w:val="2F9037FD"/>
    <w:rsid w:val="31A43590"/>
    <w:rsid w:val="31C55888"/>
    <w:rsid w:val="320D0161"/>
    <w:rsid w:val="39123D69"/>
    <w:rsid w:val="3960538F"/>
    <w:rsid w:val="3A533D9C"/>
    <w:rsid w:val="3C177780"/>
    <w:rsid w:val="3FF07735"/>
    <w:rsid w:val="41C37C2B"/>
    <w:rsid w:val="4315035B"/>
    <w:rsid w:val="44184D11"/>
    <w:rsid w:val="45343151"/>
    <w:rsid w:val="46717A8D"/>
    <w:rsid w:val="4E3338B9"/>
    <w:rsid w:val="4ED41501"/>
    <w:rsid w:val="55E738C7"/>
    <w:rsid w:val="5CF54B1C"/>
    <w:rsid w:val="5EDA046D"/>
    <w:rsid w:val="605C2AC1"/>
    <w:rsid w:val="63495BC1"/>
    <w:rsid w:val="671F5D1B"/>
    <w:rsid w:val="69A27C13"/>
    <w:rsid w:val="6BA442DD"/>
    <w:rsid w:val="6C604A30"/>
    <w:rsid w:val="6D997745"/>
    <w:rsid w:val="73CB593E"/>
    <w:rsid w:val="74106FC0"/>
    <w:rsid w:val="7B2F5245"/>
    <w:rsid w:val="7FAA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cs="Calibri"/>
      <w:szCs w:val="21"/>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after="120" w:line="360" w:lineRule="auto"/>
      <w:ind w:firstLine="200" w:firstLineChars="200"/>
    </w:pPr>
    <w:rPr>
      <w:rFonts w:ascii="??_GB2312" w:hAnsi="??_GB2312"/>
      <w:sz w:val="30"/>
      <w:szCs w:val="20"/>
    </w:rPr>
  </w:style>
  <w:style w:type="paragraph" w:customStyle="1" w:styleId="5">
    <w:name w:val="正文部分 Char Char Char"/>
    <w:basedOn w:val="4"/>
    <w:next w:val="1"/>
    <w:qFormat/>
    <w:uiPriority w:val="99"/>
    <w:pPr>
      <w:adjustRightInd w:val="0"/>
      <w:snapToGrid w:val="0"/>
      <w:spacing w:line="460" w:lineRule="exact"/>
      <w:textAlignment w:val="baseline"/>
    </w:pPr>
    <w:rPr>
      <w:sz w:val="24"/>
    </w:rPr>
  </w:style>
  <w:style w:type="paragraph" w:styleId="6">
    <w:name w:val="toc 3"/>
    <w:basedOn w:val="1"/>
    <w:next w:val="1"/>
    <w:qFormat/>
    <w:uiPriority w:val="0"/>
    <w:pPr>
      <w:ind w:left="480"/>
    </w:pPr>
  </w:style>
  <w:style w:type="paragraph" w:styleId="7">
    <w:name w:val="Balloon Text"/>
    <w:basedOn w:val="1"/>
    <w:link w:val="41"/>
    <w:semiHidden/>
    <w:unhideWhenUsed/>
    <w:qFormat/>
    <w:uiPriority w:val="99"/>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单元格样式22"/>
    <w:basedOn w:val="1"/>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
    <w:basedOn w:val="1"/>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qFormat/>
    <w:uiPriority w:val="0"/>
    <w:pPr>
      <w:jc w:val="center"/>
    </w:pPr>
    <w:rPr>
      <w:rFonts w:ascii="方正书宋_GBK" w:hAnsi="方正书宋_GBK" w:eastAsia="方正书宋_GBK" w:cs="方正书宋_GBK"/>
      <w:b/>
      <w:sz w:val="21"/>
    </w:rPr>
  </w:style>
  <w:style w:type="paragraph" w:customStyle="1" w:styleId="23">
    <w:name w:val="单元格样式7"/>
    <w:basedOn w:val="1"/>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3">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4">
    <w:name w:val="单元格样式2_acd9741a-c560-41f7-84ad-0cd8a7905e55"/>
    <w:basedOn w:val="1"/>
    <w:qFormat/>
    <w:uiPriority w:val="0"/>
    <w:rPr>
      <w:rFonts w:ascii="方正书宋_GBK" w:hAnsi="方正书宋_GBK" w:eastAsia="方正书宋_GBK" w:cs="方正书宋_GBK"/>
      <w:sz w:val="21"/>
    </w:rPr>
  </w:style>
  <w:style w:type="paragraph" w:customStyle="1" w:styleId="35">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6">
    <w:name w:val="单元格样式23"/>
    <w:basedOn w:val="1"/>
    <w:qFormat/>
    <w:uiPriority w:val="0"/>
    <w:pPr>
      <w:jc w:val="right"/>
    </w:pPr>
    <w:rPr>
      <w:rFonts w:ascii="方正书宋_GBK" w:hAnsi="方正书宋_GBK" w:eastAsia="方正书宋_GBK" w:cs="方正书宋_GBK"/>
    </w:rPr>
  </w:style>
  <w:style w:type="paragraph" w:customStyle="1" w:styleId="37">
    <w:name w:val="插入文本样式-插入单位职责文件"/>
    <w:basedOn w:val="1"/>
    <w:qFormat/>
    <w:uiPriority w:val="0"/>
    <w:pPr>
      <w:spacing w:line="500" w:lineRule="exact"/>
      <w:ind w:firstLine="560"/>
    </w:pPr>
    <w:rPr>
      <w:rFonts w:eastAsia="方正仿宋_GBK"/>
      <w:sz w:val="28"/>
    </w:rPr>
  </w:style>
  <w:style w:type="paragraph" w:customStyle="1" w:styleId="3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4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41">
    <w:name w:val="批注框文本 Char"/>
    <w:basedOn w:val="14"/>
    <w:link w:val="7"/>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Props1.xml><?xml version="1.0" encoding="utf-8"?>
<ds:datastoreItem xmlns:ds="http://schemas.openxmlformats.org/officeDocument/2006/customXml" ds:itemID="{A0E6157F-712F-442A-BFC2-CB641D330B26}">
  <ds:schemaRefs/>
</ds:datastoreItem>
</file>

<file path=customXml/itemProps10.xml><?xml version="1.0" encoding="utf-8"?>
<ds:datastoreItem xmlns:ds="http://schemas.openxmlformats.org/officeDocument/2006/customXml" ds:itemID="{1BFC3A3D-63E4-4E23-BD5D-2C3B47E9B51C}">
  <ds:schemaRefs/>
</ds:datastoreItem>
</file>

<file path=customXml/itemProps11.xml><?xml version="1.0" encoding="utf-8"?>
<ds:datastoreItem xmlns:ds="http://schemas.openxmlformats.org/officeDocument/2006/customXml" ds:itemID="{8B14A2A6-3B33-47E2-83C0-775093D00058}">
  <ds:schemaRefs/>
</ds:datastoreItem>
</file>

<file path=customXml/itemProps12.xml><?xml version="1.0" encoding="utf-8"?>
<ds:datastoreItem xmlns:ds="http://schemas.openxmlformats.org/officeDocument/2006/customXml" ds:itemID="{41D3DC90-01EC-4C05-B889-172E9E593B1D}">
  <ds:schemaRefs/>
</ds:datastoreItem>
</file>

<file path=customXml/itemProps13.xml><?xml version="1.0" encoding="utf-8"?>
<ds:datastoreItem xmlns:ds="http://schemas.openxmlformats.org/officeDocument/2006/customXml" ds:itemID="{77DBBA27-4948-4810-818F-32E25C8BA687}">
  <ds:schemaRefs/>
</ds:datastoreItem>
</file>

<file path=customXml/itemProps14.xml><?xml version="1.0" encoding="utf-8"?>
<ds:datastoreItem xmlns:ds="http://schemas.openxmlformats.org/officeDocument/2006/customXml" ds:itemID="{ED10E1AE-06EA-4C12-A91E-76CFA8A252FC}">
  <ds:schemaRefs/>
</ds:datastoreItem>
</file>

<file path=customXml/itemProps15.xml><?xml version="1.0" encoding="utf-8"?>
<ds:datastoreItem xmlns:ds="http://schemas.openxmlformats.org/officeDocument/2006/customXml" ds:itemID="{FE23985B-ED70-47CD-B86D-2B00AF649EE1}">
  <ds:schemaRefs/>
</ds:datastoreItem>
</file>

<file path=customXml/itemProps16.xml><?xml version="1.0" encoding="utf-8"?>
<ds:datastoreItem xmlns:ds="http://schemas.openxmlformats.org/officeDocument/2006/customXml" ds:itemID="{324965FC-D991-43C9-BE47-E0ABD12B0F72}">
  <ds:schemaRefs/>
</ds:datastoreItem>
</file>

<file path=customXml/itemProps17.xml><?xml version="1.0" encoding="utf-8"?>
<ds:datastoreItem xmlns:ds="http://schemas.openxmlformats.org/officeDocument/2006/customXml" ds:itemID="{5BCEF3DC-2EAE-4010-862F-9AFBE7F14832}">
  <ds:schemaRefs/>
</ds:datastoreItem>
</file>

<file path=customXml/itemProps18.xml><?xml version="1.0" encoding="utf-8"?>
<ds:datastoreItem xmlns:ds="http://schemas.openxmlformats.org/officeDocument/2006/customXml" ds:itemID="{6C26E44B-E9F0-41B0-84AA-7EA048267EC7}">
  <ds:schemaRefs/>
</ds:datastoreItem>
</file>

<file path=customXml/itemProps19.xml><?xml version="1.0" encoding="utf-8"?>
<ds:datastoreItem xmlns:ds="http://schemas.openxmlformats.org/officeDocument/2006/customXml" ds:itemID="{3E940B1E-C383-4339-AB93-723100A6005A}">
  <ds:schemaRefs/>
</ds:datastoreItem>
</file>

<file path=customXml/itemProps2.xml><?xml version="1.0" encoding="utf-8"?>
<ds:datastoreItem xmlns:ds="http://schemas.openxmlformats.org/officeDocument/2006/customXml" ds:itemID="{E0798DE9-A302-4C0D-9AD1-C00F331EC00B}">
  <ds:schemaRefs/>
</ds:datastoreItem>
</file>

<file path=customXml/itemProps20.xml><?xml version="1.0" encoding="utf-8"?>
<ds:datastoreItem xmlns:ds="http://schemas.openxmlformats.org/officeDocument/2006/customXml" ds:itemID="{6F1C9039-63C8-4BAC-9915-4FFA8AE61667}">
  <ds:schemaRefs/>
</ds:datastoreItem>
</file>

<file path=customXml/itemProps21.xml><?xml version="1.0" encoding="utf-8"?>
<ds:datastoreItem xmlns:ds="http://schemas.openxmlformats.org/officeDocument/2006/customXml" ds:itemID="{AF20C283-1DFD-45F6-80C8-5FA433CB5A3E}">
  <ds:schemaRefs/>
</ds:datastoreItem>
</file>

<file path=customXml/itemProps22.xml><?xml version="1.0" encoding="utf-8"?>
<ds:datastoreItem xmlns:ds="http://schemas.openxmlformats.org/officeDocument/2006/customXml" ds:itemID="{5CD27031-2771-46BA-81F3-7C1763067D13}">
  <ds:schemaRefs/>
</ds:datastoreItem>
</file>

<file path=customXml/itemProps23.xml><?xml version="1.0" encoding="utf-8"?>
<ds:datastoreItem xmlns:ds="http://schemas.openxmlformats.org/officeDocument/2006/customXml" ds:itemID="{A5A326FC-04BB-4C15-855F-9BA7836CF57D}">
  <ds:schemaRefs/>
</ds:datastoreItem>
</file>

<file path=customXml/itemProps24.xml><?xml version="1.0" encoding="utf-8"?>
<ds:datastoreItem xmlns:ds="http://schemas.openxmlformats.org/officeDocument/2006/customXml" ds:itemID="{44F28CBD-C5CC-4B66-B151-A9BAB8879381}">
  <ds:schemaRefs/>
</ds:datastoreItem>
</file>

<file path=customXml/itemProps3.xml><?xml version="1.0" encoding="utf-8"?>
<ds:datastoreItem xmlns:ds="http://schemas.openxmlformats.org/officeDocument/2006/customXml" ds:itemID="{F4D648B0-3C3D-482C-BA5D-476009CBB54D}">
  <ds:schemaRefs/>
</ds:datastoreItem>
</file>

<file path=customXml/itemProps4.xml><?xml version="1.0" encoding="utf-8"?>
<ds:datastoreItem xmlns:ds="http://schemas.openxmlformats.org/officeDocument/2006/customXml" ds:itemID="{C478C312-87D5-4B36-B316-948D9CB1E7FA}">
  <ds:schemaRefs/>
</ds:datastoreItem>
</file>

<file path=customXml/itemProps5.xml><?xml version="1.0" encoding="utf-8"?>
<ds:datastoreItem xmlns:ds="http://schemas.openxmlformats.org/officeDocument/2006/customXml" ds:itemID="{8E88A934-BB77-41F2-B140-48A6FAA2710D}">
  <ds:schemaRefs/>
</ds:datastoreItem>
</file>

<file path=customXml/itemProps6.xml><?xml version="1.0" encoding="utf-8"?>
<ds:datastoreItem xmlns:ds="http://schemas.openxmlformats.org/officeDocument/2006/customXml" ds:itemID="{1D5C7441-13A0-4AA3-BAC9-B513DEC7BA4A}">
  <ds:schemaRefs/>
</ds:datastoreItem>
</file>

<file path=customXml/itemProps7.xml><?xml version="1.0" encoding="utf-8"?>
<ds:datastoreItem xmlns:ds="http://schemas.openxmlformats.org/officeDocument/2006/customXml" ds:itemID="{7564956D-0391-4A0D-8B6E-540F28978D93}">
  <ds:schemaRefs/>
</ds:datastoreItem>
</file>

<file path=customXml/itemProps8.xml><?xml version="1.0" encoding="utf-8"?>
<ds:datastoreItem xmlns:ds="http://schemas.openxmlformats.org/officeDocument/2006/customXml" ds:itemID="{1087DEBD-28E9-463F-AE16-57EF83E132C6}">
  <ds:schemaRefs/>
</ds:datastoreItem>
</file>

<file path=customXml/itemProps9.xml><?xml version="1.0" encoding="utf-8"?>
<ds:datastoreItem xmlns:ds="http://schemas.openxmlformats.org/officeDocument/2006/customXml" ds:itemID="{5278811A-9485-4DD1-BD01-1E15AA0DE14C}">
  <ds:schemaRefs/>
</ds:datastoreItem>
</file>

<file path=docProps/app.xml><?xml version="1.0" encoding="utf-8"?>
<Properties xmlns="http://schemas.openxmlformats.org/officeDocument/2006/extended-properties" xmlns:vt="http://schemas.openxmlformats.org/officeDocument/2006/docPropsVTypes">
  <Template>Normal</Template>
  <Pages>31</Pages>
  <Words>12122</Words>
  <Characters>13837</Characters>
  <Lines>161</Lines>
  <Paragraphs>45</Paragraphs>
  <TotalTime>4</TotalTime>
  <ScaleCrop>false</ScaleCrop>
  <LinksUpToDate>false</LinksUpToDate>
  <CharactersWithSpaces>14011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2022-02-23T02:12:00Z</dcterms:created>
  <dc:creator>Administrator</dc:creator>
  <cp:lastModifiedBy>姑苏小白兔</cp:lastModifiedBy>
  <cp:lastPrinted>2022-01-19T07:22:00Z</cp:lastPrinted>
  <dcterms:modified xsi:type="dcterms:W3CDTF">2022-07-15T01:46:47Z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2CFE397C5788413CAA72BDF09E858B9F</vt:lpwstr>
  </property>
</Properties>
</file>