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cs="宋体"/>
          <w:b/>
          <w:bCs/>
          <w:i w:val="0"/>
          <w:iCs w:val="0"/>
          <w:caps w:val="0"/>
          <w:color w:val="000000"/>
          <w:spacing w:val="0"/>
          <w:sz w:val="36"/>
          <w:szCs w:val="36"/>
          <w:shd w:val="clear" w:color="auto" w:fill="FFFFFF"/>
          <w:lang w:val="en-US" w:eastAsia="zh-CN"/>
        </w:rPr>
      </w:pPr>
      <w:r>
        <w:rPr>
          <w:rFonts w:hint="eastAsia" w:cs="宋体"/>
          <w:b/>
          <w:bCs/>
          <w:i w:val="0"/>
          <w:iCs w:val="0"/>
          <w:caps w:val="0"/>
          <w:color w:val="000000"/>
          <w:spacing w:val="0"/>
          <w:sz w:val="36"/>
          <w:szCs w:val="36"/>
          <w:shd w:val="clear" w:color="auto" w:fill="FFFFFF"/>
          <w:lang w:val="en-US" w:eastAsia="zh-CN"/>
        </w:rPr>
        <w:t>宽城满族自治县人民政府办公室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cs="宋体"/>
          <w:b/>
          <w:bCs/>
          <w:i w:val="0"/>
          <w:iCs w:val="0"/>
          <w:caps w:val="0"/>
          <w:color w:val="000000"/>
          <w:spacing w:val="0"/>
          <w:sz w:val="36"/>
          <w:szCs w:val="36"/>
          <w:shd w:val="clear" w:color="auto" w:fill="FFFFFF"/>
          <w:lang w:val="en-US" w:eastAsia="zh-CN"/>
        </w:rPr>
        <w:t>2023年度政府</w:t>
      </w:r>
      <w:r>
        <w:rPr>
          <w:rFonts w:hint="eastAsia" w:ascii="宋体" w:hAnsi="宋体" w:eastAsia="宋体" w:cs="宋体"/>
          <w:b/>
          <w:bCs/>
          <w:i w:val="0"/>
          <w:iCs w:val="0"/>
          <w:caps w:val="0"/>
          <w:color w:val="000000"/>
          <w:spacing w:val="0"/>
          <w:sz w:val="36"/>
          <w:szCs w:val="36"/>
          <w:shd w:val="clear" w:color="auto" w:fill="FFFFFF"/>
        </w:rPr>
        <w:t>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rPr>
      </w:pPr>
      <w:r>
        <w:rPr>
          <w:rFonts w:hint="eastAsia" w:ascii="仿宋_GB2312" w:hAnsi="仿宋_GB2312" w:eastAsia="仿宋_GB2312" w:cs="仿宋_GB2312"/>
          <w:sz w:val="32"/>
          <w:szCs w:val="32"/>
        </w:rPr>
        <w:t>根据《中华人民共和国政府信息公开条例》和《国务院办公厅政府信息与政务公开办公室关于印发中华人民共和国政府信息公开工作年度报告格式的通知》</w:t>
      </w:r>
      <w:r>
        <w:rPr>
          <w:rFonts w:hint="eastAsia" w:ascii="仿宋_GB2312" w:hAnsi="仿宋_GB2312" w:eastAsia="仿宋_GB2312" w:cs="仿宋_GB2312"/>
          <w:sz w:val="32"/>
          <w:szCs w:val="32"/>
          <w:lang w:val="en-US" w:eastAsia="zh-CN"/>
        </w:rPr>
        <w:t>等文件</w:t>
      </w:r>
      <w:r>
        <w:rPr>
          <w:rFonts w:hint="eastAsia" w:ascii="仿宋_GB2312" w:hAnsi="仿宋_GB2312" w:eastAsia="仿宋_GB2312" w:cs="仿宋_GB2312"/>
          <w:sz w:val="32"/>
          <w:szCs w:val="32"/>
        </w:rPr>
        <w:t>要求，结合</w:t>
      </w:r>
      <w:r>
        <w:rPr>
          <w:rFonts w:hint="eastAsia" w:ascii="仿宋_GB2312" w:hAnsi="仿宋_GB2312" w:eastAsia="仿宋_GB2312" w:cs="仿宋_GB2312"/>
          <w:sz w:val="32"/>
          <w:szCs w:val="32"/>
          <w:lang w:val="en-US" w:eastAsia="zh-CN"/>
        </w:rPr>
        <w:t>宽城满族自治县政府办公室</w:t>
      </w:r>
      <w:r>
        <w:rPr>
          <w:rFonts w:hint="eastAsia" w:ascii="仿宋_GB2312" w:hAnsi="仿宋_GB2312" w:eastAsia="仿宋_GB2312" w:cs="仿宋_GB2312"/>
          <w:sz w:val="32"/>
          <w:szCs w:val="32"/>
        </w:rPr>
        <w:t>信息公开工作实际，特向社会公布202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年信息公开工作年度报告。本报告中所列数据的统计期限自202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年1月1日起至202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shd w:val="clear" w:color="auto"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rPr>
        <w:t>（一）主动公开方面。</w:t>
      </w:r>
      <w:r>
        <w:rPr>
          <w:rFonts w:hint="eastAsia" w:ascii="仿宋_GB2312" w:hAnsi="仿宋_GB2312" w:eastAsia="仿宋_GB2312" w:cs="仿宋_GB2312"/>
          <w:i w:val="0"/>
          <w:iCs w:val="0"/>
          <w:caps w:val="0"/>
          <w:color w:val="000000"/>
          <w:spacing w:val="0"/>
          <w:sz w:val="32"/>
          <w:szCs w:val="32"/>
          <w:shd w:val="clear" w:color="auto" w:fill="FFFFFF"/>
        </w:rPr>
        <w:t>202</w:t>
      </w:r>
      <w:r>
        <w:rPr>
          <w:rFonts w:hint="eastAsia" w:ascii="仿宋_GB2312" w:hAnsi="仿宋_GB2312" w:eastAsia="仿宋_GB2312" w:cs="仿宋_GB2312"/>
          <w:i w:val="0"/>
          <w:iCs w:val="0"/>
          <w:caps w:val="0"/>
          <w:color w:val="000000"/>
          <w:spacing w:val="0"/>
          <w:sz w:val="32"/>
          <w:szCs w:val="32"/>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shd w:val="clear" w:color="auto" w:fill="FFFFFF"/>
        </w:rPr>
        <w:t>年，我办认真贯彻落实《中华人民共和国政府信息公开条例》，紧紧围绕</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县委、县政府</w:t>
      </w:r>
      <w:r>
        <w:rPr>
          <w:rFonts w:hint="eastAsia" w:ascii="仿宋_GB2312" w:hAnsi="仿宋_GB2312" w:eastAsia="仿宋_GB2312" w:cs="仿宋_GB2312"/>
          <w:i w:val="0"/>
          <w:iCs w:val="0"/>
          <w:caps w:val="0"/>
          <w:color w:val="000000"/>
          <w:spacing w:val="0"/>
          <w:sz w:val="32"/>
          <w:szCs w:val="32"/>
          <w:shd w:val="clear" w:color="auto" w:fill="FFFFFF"/>
        </w:rPr>
        <w:t>重大决策部署和群众关注的焦点、热点问题，继续坚持以</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公开为常态、不公开为例外</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，主动公开的政府信息，</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依托政府门户网站组织</w:t>
      </w:r>
      <w:r>
        <w:rPr>
          <w:rFonts w:hint="eastAsia" w:ascii="仿宋_GB2312" w:hAnsi="仿宋_GB2312" w:eastAsia="仿宋_GB2312" w:cs="仿宋_GB2312"/>
          <w:i w:val="0"/>
          <w:iCs w:val="0"/>
          <w:caps w:val="0"/>
          <w:color w:val="000000"/>
          <w:spacing w:val="0"/>
          <w:sz w:val="32"/>
          <w:szCs w:val="32"/>
          <w:shd w:val="clear" w:color="auto" w:fill="FFFFFF"/>
        </w:rPr>
        <w:t>发布信息3</w:t>
      </w:r>
      <w:r>
        <w:rPr>
          <w:rFonts w:hint="eastAsia" w:ascii="仿宋_GB2312" w:hAnsi="仿宋_GB2312" w:eastAsia="仿宋_GB2312" w:cs="仿宋_GB2312"/>
          <w:i w:val="0"/>
          <w:iCs w:val="0"/>
          <w:caps w:val="0"/>
          <w:color w:val="000000"/>
          <w:spacing w:val="0"/>
          <w:sz w:val="32"/>
          <w:szCs w:val="32"/>
          <w:shd w:val="clear" w:color="auto" w:fill="FFFFFF"/>
          <w:lang w:val="en-US" w:eastAsia="zh-CN"/>
        </w:rPr>
        <w:t>470</w:t>
      </w:r>
      <w:r>
        <w:rPr>
          <w:rFonts w:hint="eastAsia" w:ascii="仿宋_GB2312" w:hAnsi="仿宋_GB2312" w:eastAsia="仿宋_GB2312" w:cs="仿宋_GB2312"/>
          <w:i w:val="0"/>
          <w:iCs w:val="0"/>
          <w:caps w:val="0"/>
          <w:color w:val="000000"/>
          <w:spacing w:val="0"/>
          <w:sz w:val="32"/>
          <w:szCs w:val="32"/>
          <w:shd w:val="clear" w:color="auto" w:fill="FFFFFF"/>
        </w:rPr>
        <w:t>条，访问量14</w:t>
      </w:r>
      <w:r>
        <w:rPr>
          <w:rFonts w:hint="eastAsia" w:ascii="仿宋_GB2312" w:hAnsi="仿宋_GB2312" w:eastAsia="仿宋_GB2312" w:cs="仿宋_GB2312"/>
          <w:i w:val="0"/>
          <w:iCs w:val="0"/>
          <w:caps w:val="0"/>
          <w:color w:val="000000"/>
          <w:spacing w:val="0"/>
          <w:sz w:val="32"/>
          <w:szCs w:val="32"/>
          <w:shd w:val="clear" w:color="auto" w:fill="FFFFFF"/>
          <w:lang w:val="en-US" w:eastAsia="zh-CN"/>
        </w:rPr>
        <w:t>0</w:t>
      </w:r>
      <w:r>
        <w:rPr>
          <w:rFonts w:hint="eastAsia" w:ascii="仿宋_GB2312" w:hAnsi="仿宋_GB2312" w:eastAsia="仿宋_GB2312" w:cs="仿宋_GB2312"/>
          <w:i w:val="0"/>
          <w:iCs w:val="0"/>
          <w:caps w:val="0"/>
          <w:color w:val="000000"/>
          <w:spacing w:val="0"/>
          <w:sz w:val="32"/>
          <w:szCs w:val="32"/>
          <w:shd w:val="clear" w:color="auto" w:fill="FFFFFF"/>
        </w:rPr>
        <w:t>万余人次，</w:t>
      </w:r>
      <w:r>
        <w:rPr>
          <w:rFonts w:hint="eastAsia" w:ascii="仿宋_GB2312" w:hAnsi="仿宋_GB2312" w:eastAsia="仿宋_GB2312" w:cs="仿宋_GB2312"/>
          <w:b w:val="0"/>
          <w:bCs w:val="0"/>
          <w:i w:val="0"/>
          <w:iCs w:val="0"/>
          <w:caps w:val="0"/>
          <w:color w:val="000000"/>
          <w:spacing w:val="0"/>
          <w:sz w:val="32"/>
          <w:szCs w:val="32"/>
          <w:shd w:val="clear" w:color="auto" w:fill="FFFFFF"/>
        </w:rPr>
        <w:t>县政府微信公众号发布信息</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41</w:t>
      </w:r>
      <w:r>
        <w:rPr>
          <w:rFonts w:hint="eastAsia" w:ascii="仿宋_GB2312" w:hAnsi="仿宋_GB2312" w:eastAsia="仿宋_GB2312" w:cs="仿宋_GB2312"/>
          <w:b w:val="0"/>
          <w:bCs w:val="0"/>
          <w:i w:val="0"/>
          <w:iCs w:val="0"/>
          <w:caps w:val="0"/>
          <w:color w:val="000000"/>
          <w:spacing w:val="0"/>
          <w:sz w:val="32"/>
          <w:szCs w:val="32"/>
          <w:shd w:val="clear" w:color="auto" w:fill="FFFFFF"/>
        </w:rPr>
        <w:t>条,微博发布信息</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46</w:t>
      </w:r>
      <w:r>
        <w:rPr>
          <w:rFonts w:hint="eastAsia" w:ascii="仿宋_GB2312" w:hAnsi="仿宋_GB2312" w:eastAsia="仿宋_GB2312" w:cs="仿宋_GB2312"/>
          <w:b w:val="0"/>
          <w:bCs w:val="0"/>
          <w:i w:val="0"/>
          <w:iCs w:val="0"/>
          <w:caps w:val="0"/>
          <w:color w:val="000000"/>
          <w:spacing w:val="0"/>
          <w:sz w:val="32"/>
          <w:szCs w:val="32"/>
          <w:shd w:val="clear" w:color="auto" w:fill="FFFFFF"/>
        </w:rPr>
        <w:t>条，</w:t>
      </w:r>
      <w:r>
        <w:rPr>
          <w:rFonts w:hint="eastAsia" w:ascii="仿宋_GB2312" w:hAnsi="仿宋_GB2312" w:eastAsia="仿宋_GB2312" w:cs="仿宋_GB2312"/>
          <w:i w:val="0"/>
          <w:iCs w:val="0"/>
          <w:caps w:val="0"/>
          <w:color w:val="000000"/>
          <w:spacing w:val="0"/>
          <w:sz w:val="32"/>
          <w:szCs w:val="32"/>
          <w:shd w:val="clear" w:color="auto" w:fill="FFFFFF"/>
        </w:rPr>
        <w:t>政府工作透明度和公信力进一步提高。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rPr>
        <w:t>（二）依申请公开方面。</w:t>
      </w:r>
      <w:r>
        <w:rPr>
          <w:rFonts w:hint="eastAsia" w:ascii="仿宋_GB2312" w:hAnsi="仿宋_GB2312" w:eastAsia="仿宋_GB2312" w:cs="仿宋_GB2312"/>
          <w:i w:val="0"/>
          <w:iCs w:val="0"/>
          <w:caps w:val="0"/>
          <w:color w:val="000000"/>
          <w:spacing w:val="0"/>
          <w:sz w:val="32"/>
          <w:szCs w:val="32"/>
          <w:shd w:val="clear" w:color="auto" w:fill="FFFFFF"/>
        </w:rPr>
        <w:t>严格信息公开申请办理流程，依法依规做好政府信息依申请公开工作，全年共</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收到</w:t>
      </w:r>
      <w:r>
        <w:rPr>
          <w:rFonts w:hint="eastAsia" w:ascii="仿宋_GB2312" w:hAnsi="仿宋_GB2312" w:eastAsia="仿宋_GB2312" w:cs="仿宋_GB2312"/>
          <w:i w:val="0"/>
          <w:iCs w:val="0"/>
          <w:caps w:val="0"/>
          <w:color w:val="000000"/>
          <w:spacing w:val="0"/>
          <w:sz w:val="32"/>
          <w:szCs w:val="32"/>
          <w:shd w:val="clear" w:color="auto" w:fill="FFFFFF"/>
        </w:rPr>
        <w:t>依申请公开</w:t>
      </w:r>
      <w:r>
        <w:rPr>
          <w:rFonts w:hint="eastAsia" w:ascii="仿宋_GB2312" w:hAnsi="仿宋_GB2312" w:eastAsia="仿宋_GB2312" w:cs="仿宋_GB2312"/>
          <w:i w:val="0"/>
          <w:iCs w:val="0"/>
          <w:caps w:val="0"/>
          <w:color w:val="000000"/>
          <w:spacing w:val="0"/>
          <w:sz w:val="32"/>
          <w:szCs w:val="32"/>
          <w:shd w:val="clear" w:color="auto" w:fill="FFFFFF"/>
          <w:lang w:val="en-US" w:eastAsia="zh-CN"/>
        </w:rPr>
        <w:t>35</w:t>
      </w:r>
      <w:r>
        <w:rPr>
          <w:rFonts w:hint="eastAsia" w:ascii="仿宋_GB2312" w:hAnsi="仿宋_GB2312" w:eastAsia="仿宋_GB2312" w:cs="仿宋_GB2312"/>
          <w:i w:val="0"/>
          <w:iCs w:val="0"/>
          <w:caps w:val="0"/>
          <w:color w:val="000000"/>
          <w:spacing w:val="0"/>
          <w:sz w:val="32"/>
          <w:szCs w:val="32"/>
          <w:shd w:val="clear" w:color="auto" w:fill="FFFFFF"/>
        </w:rPr>
        <w:t>件，均为自然人申请件，全部按《条例》和《实施办法》规定予以</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办理</w:t>
      </w:r>
      <w:r>
        <w:rPr>
          <w:rFonts w:hint="eastAsia" w:ascii="仿宋_GB2312" w:hAnsi="仿宋_GB2312" w:eastAsia="仿宋_GB2312" w:cs="仿宋_GB2312"/>
          <w:i w:val="0"/>
          <w:iCs w:val="0"/>
          <w:caps w:val="0"/>
          <w:color w:val="000000"/>
          <w:spacing w:val="0"/>
          <w:sz w:val="32"/>
          <w:szCs w:val="32"/>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rPr>
        <w:t>（三）政府信息管理方面。</w:t>
      </w:r>
      <w:r>
        <w:rPr>
          <w:rFonts w:hint="eastAsia" w:ascii="仿宋_GB2312" w:hAnsi="仿宋_GB2312" w:eastAsia="仿宋_GB2312" w:cs="仿宋_GB2312"/>
          <w:i w:val="0"/>
          <w:iCs w:val="0"/>
          <w:caps w:val="0"/>
          <w:color w:val="000000"/>
          <w:spacing w:val="0"/>
          <w:sz w:val="32"/>
          <w:szCs w:val="32"/>
          <w:shd w:val="clear" w:color="auto" w:fill="FFFFFF"/>
        </w:rPr>
        <w:t>按照《条例》及国省</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市</w:t>
      </w:r>
      <w:r>
        <w:rPr>
          <w:rFonts w:hint="eastAsia" w:ascii="仿宋_GB2312" w:hAnsi="仿宋_GB2312" w:eastAsia="仿宋_GB2312" w:cs="仿宋_GB2312"/>
          <w:i w:val="0"/>
          <w:iCs w:val="0"/>
          <w:caps w:val="0"/>
          <w:color w:val="000000"/>
          <w:spacing w:val="0"/>
          <w:sz w:val="32"/>
          <w:szCs w:val="32"/>
          <w:shd w:val="clear" w:color="auto" w:fill="FFFFFF"/>
        </w:rPr>
        <w:t>相关规定理顺工作机制，明确各信息工作的主管部门职能，形成上下齐抓共管的良好工作局面。将“五公开”要求落实到公文办理流程，行政机关拟制公文时，严格执行政务公开源头认定办法，在文件起草环节明确信息公开属性，确保应该公开的文件在印发文件同时即上网公开，提高政务公开时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楷体_GB2312" w:hAnsi="楷体_GB2312" w:eastAsia="楷体_GB2312" w:cs="楷体_GB2312"/>
          <w:b/>
          <w:bCs/>
          <w:i w:val="0"/>
          <w:iCs w:val="0"/>
          <w:caps w:val="0"/>
          <w:color w:val="000000"/>
          <w:spacing w:val="0"/>
          <w:sz w:val="32"/>
          <w:szCs w:val="32"/>
          <w:shd w:val="clear" w:color="auto" w:fill="FFFFFF"/>
        </w:rPr>
        <w:t>（四）政府信息公开平台建设方面。</w:t>
      </w:r>
      <w:r>
        <w:rPr>
          <w:rFonts w:hint="eastAsia" w:ascii="仿宋_GB2312" w:hAnsi="仿宋_GB2312" w:eastAsia="仿宋_GB2312" w:cs="仿宋_GB2312"/>
          <w:i w:val="0"/>
          <w:iCs w:val="0"/>
          <w:caps w:val="0"/>
          <w:color w:val="000000"/>
          <w:spacing w:val="0"/>
          <w:sz w:val="32"/>
          <w:szCs w:val="32"/>
          <w:shd w:val="clear" w:color="auto" w:fill="FFFFFF"/>
        </w:rPr>
        <w:t>加大公开平台软硬件设施投入，加强日常监测与维护，建立健全网络安全防护制度，</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不</w:t>
      </w:r>
      <w:r>
        <w:rPr>
          <w:rFonts w:hint="eastAsia" w:ascii="仿宋_GB2312" w:hAnsi="仿宋_GB2312" w:eastAsia="仿宋_GB2312" w:cs="仿宋_GB2312"/>
          <w:i w:val="0"/>
          <w:iCs w:val="0"/>
          <w:caps w:val="0"/>
          <w:color w:val="000000"/>
          <w:spacing w:val="0"/>
          <w:sz w:val="32"/>
          <w:szCs w:val="32"/>
          <w:shd w:val="clear" w:color="auto" w:fill="FFFFFF"/>
        </w:rPr>
        <w:t>断优化政府信息公开平台网页界面设计，规范政府信息公开专栏设置，对网站原有和增设栏目信息内容进行归类梳理和动态更新</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sz w:val="32"/>
          <w:szCs w:val="32"/>
          <w:shd w:val="clear" w:color="auto" w:fill="FFFFFF"/>
        </w:rPr>
        <w:t>（五）监督保障方面。</w:t>
      </w:r>
      <w:r>
        <w:rPr>
          <w:rFonts w:hint="eastAsia" w:ascii="仿宋_GB2312" w:hAnsi="仿宋_GB2312" w:eastAsia="仿宋_GB2312" w:cs="仿宋_GB2312"/>
          <w:i w:val="0"/>
          <w:iCs w:val="0"/>
          <w:caps w:val="0"/>
          <w:color w:val="000000"/>
          <w:spacing w:val="0"/>
          <w:sz w:val="32"/>
          <w:szCs w:val="32"/>
          <w:shd w:val="clear" w:color="auto" w:fill="FFFFFF"/>
        </w:rPr>
        <w:t>将政务公开工作纳入考核，严格按照政府信息公开保密审查制度，落实审核责任，认真做好信息采集、编辑、审核及发布工作。对政府网站发布的信息，坚持实时电子监察</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点对点督办，做到发现问题即查即改</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及时更新栏目信息，认真解决内容表述错误、信息超期更新等相关问题。</w:t>
      </w:r>
      <w:r>
        <w:rPr>
          <w:rFonts w:hint="eastAsia" w:ascii="仿宋_GB2312" w:hAnsi="仿宋_GB2312" w:eastAsia="仿宋_GB2312" w:cs="仿宋_GB2312"/>
          <w:color w:val="000000"/>
          <w:sz w:val="32"/>
          <w:szCs w:val="32"/>
        </w:rPr>
        <w:t>组织开展全县政务公开工作视频培训1次、网民留言办理工作视频培训1次，不断提高我县政务公开、网民留言办理工作的质量和实效。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val="0"/>
          <w:i w:val="0"/>
          <w:iCs w:val="0"/>
          <w:caps w:val="0"/>
          <w:color w:val="000000"/>
          <w:spacing w:val="0"/>
          <w:sz w:val="32"/>
          <w:szCs w:val="32"/>
        </w:rPr>
      </w:pPr>
      <w:r>
        <w:rPr>
          <w:rFonts w:ascii="宋体" w:hAnsi="宋体" w:eastAsia="宋体" w:cs="宋体"/>
          <w:sz w:val="24"/>
          <w:szCs w:val="24"/>
        </w:rPr>
        <w:t xml:space="preserve"> </w:t>
      </w:r>
      <w:r>
        <w:rPr>
          <w:rFonts w:hint="eastAsia" w:ascii="黑体" w:hAnsi="黑体" w:eastAsia="黑体" w:cs="黑体"/>
          <w:b w:val="0"/>
          <w:bCs w:val="0"/>
          <w:i w:val="0"/>
          <w:iCs w:val="0"/>
          <w:caps w:val="0"/>
          <w:color w:val="000000"/>
          <w:spacing w:val="0"/>
          <w:sz w:val="32"/>
          <w:szCs w:val="32"/>
          <w:shd w:val="clear" w:color="auto" w:fill="FFFFFF"/>
        </w:rPr>
        <w:t>二、主动公开政府信息情况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4"/>
          <w:szCs w:val="24"/>
        </w:rPr>
      </w:pP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color w:val="000000"/>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color w:val="000000"/>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color w:val="000000"/>
                <w:lang w:val="en-US"/>
              </w:rPr>
            </w:pPr>
            <w:r>
              <w:rPr>
                <w:rFonts w:ascii="Calibri" w:hAnsi="Calibri" w:cs="Calibri"/>
                <w:color w:val="000000"/>
                <w:kern w:val="0"/>
                <w:sz w:val="21"/>
                <w:szCs w:val="21"/>
                <w:lang w:val="en-US" w:eastAsia="zh-CN" w:bidi="ar"/>
              </w:rPr>
              <w:t> </w:t>
            </w:r>
            <w:r>
              <w:rPr>
                <w:rFonts w:hint="eastAsia" w:ascii="Calibri" w:hAnsi="Calibri" w:cs="Calibri"/>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color w:val="000000"/>
                <w:lang w:val="en-US"/>
              </w:rPr>
            </w:pPr>
            <w:r>
              <w:rPr>
                <w:rFonts w:hint="eastAsia" w:ascii="宋体" w:hAnsi="宋体" w:cs="宋体"/>
                <w:color w:val="000000"/>
                <w:kern w:val="0"/>
                <w:sz w:val="20"/>
                <w:szCs w:val="20"/>
                <w:lang w:val="en-US" w:eastAsia="zh-CN" w:bidi="ar"/>
              </w:rPr>
              <w:t>3</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color w:val="000000"/>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color w:val="000000"/>
                <w:lang w:val="en-US"/>
              </w:rPr>
            </w:pPr>
            <w:r>
              <w:rPr>
                <w:rFonts w:hint="eastAsia" w:ascii="Calibri" w:hAnsi="Calibri" w:cs="Calibri"/>
                <w:color w:val="000000"/>
                <w:kern w:val="0"/>
                <w:sz w:val="21"/>
                <w:szCs w:val="21"/>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color w:val="000000"/>
                <w:lang w:val="en-US"/>
              </w:rPr>
            </w:pPr>
            <w:r>
              <w:rPr>
                <w:rFonts w:hint="eastAsia" w:ascii="Calibri" w:hAnsi="Calibri" w:cs="Calibri"/>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color w:val="000000"/>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default"/>
                <w:color w:val="000000"/>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default" w:ascii="宋体" w:eastAsia="宋体"/>
                <w:color w:val="000000"/>
                <w:sz w:val="24"/>
                <w:szCs w:val="24"/>
                <w:lang w:val="en-US" w:eastAsia="zh-CN"/>
              </w:rPr>
            </w:pPr>
            <w:r>
              <w:rPr>
                <w:rFonts w:hint="eastAsia" w:ascii="宋体"/>
                <w:color w:val="000000"/>
                <w:sz w:val="24"/>
                <w:szCs w:val="24"/>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color w:val="00000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shd w:val="clear" w:color="auto" w:fill="FFFFFF"/>
        </w:rPr>
        <w:t>三、收到和处理政府信息公开申请情况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000000"/>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楷体" w:hAnsi="楷体" w:eastAsia="楷体" w:cs="楷体"/>
                <w:color w:val="000000"/>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宋体" w:hAnsi="宋体" w:eastAsia="宋体" w:cs="宋体"/>
                <w:color w:val="000000"/>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color w:val="000000"/>
                <w:lang w:val="en-US"/>
              </w:rPr>
            </w:pPr>
            <w:r>
              <w:rPr>
                <w:rFonts w:hint="eastAsia" w:ascii="Calibri" w:hAnsi="Calibri" w:cs="Calibri"/>
                <w:color w:val="000000"/>
                <w:kern w:val="0"/>
                <w:sz w:val="20"/>
                <w:szCs w:val="20"/>
                <w:lang w:val="en-US" w:eastAsia="zh-CN" w:bidi="ar"/>
              </w:rPr>
              <w:t>35</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color w:val="000000"/>
                <w:lang w:val="en-US"/>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color w:val="000000"/>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color w:val="000000"/>
                <w:lang w:val="en-US"/>
              </w:rPr>
            </w:pPr>
            <w:r>
              <w:rPr>
                <w:rFonts w:hint="eastAsia" w:ascii="Calibri" w:hAnsi="Calibri" w:cs="Calibri"/>
                <w:color w:val="000000"/>
                <w:kern w:val="0"/>
                <w:sz w:val="20"/>
                <w:szCs w:val="20"/>
                <w:lang w:val="en-US" w:eastAsia="zh-CN" w:bidi="ar"/>
              </w:rPr>
              <w:t>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eastAsia" w:ascii="Calibri" w:hAnsi="Calibri" w:cs="Calibri"/>
                <w:color w:val="000000"/>
                <w:kern w:val="0"/>
                <w:sz w:val="20"/>
                <w:szCs w:val="20"/>
                <w:lang w:val="en-US" w:eastAsia="zh-CN" w:bidi="ar"/>
              </w:rPr>
              <w:t>6</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（二）部分公开</w:t>
            </w:r>
            <w:r>
              <w:rPr>
                <w:rFonts w:hint="eastAsia" w:ascii="楷体" w:hAnsi="楷体" w:eastAsia="楷体" w:cs="楷体"/>
                <w:color w:val="000000"/>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eastAsia" w:ascii="Calibri" w:hAnsi="Calibri" w:cs="Calibri"/>
                <w:color w:val="000000"/>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1.本机关不</w:t>
            </w:r>
            <w:r>
              <w:rPr>
                <w:rFonts w:hint="eastAsia" w:ascii="宋体" w:hAnsi="宋体" w:cs="宋体"/>
                <w:color w:val="000000"/>
                <w:kern w:val="0"/>
                <w:sz w:val="20"/>
                <w:szCs w:val="20"/>
                <w:lang w:val="en-US" w:eastAsia="zh-CN" w:bidi="ar"/>
              </w:rPr>
              <w:t>掌握</w:t>
            </w:r>
            <w:r>
              <w:rPr>
                <w:rFonts w:hint="eastAsia" w:ascii="宋体" w:hAnsi="宋体" w:eastAsia="宋体" w:cs="宋体"/>
                <w:color w:val="000000"/>
                <w:kern w:val="0"/>
                <w:sz w:val="20"/>
                <w:szCs w:val="20"/>
                <w:lang w:val="en-US" w:eastAsia="zh-CN" w:bidi="ar"/>
              </w:rPr>
              <w:t>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eastAsia" w:ascii="Calibri" w:hAnsi="Calibri" w:cs="Calibri"/>
                <w:color w:val="000000"/>
                <w:kern w:val="0"/>
                <w:sz w:val="20"/>
                <w:szCs w:val="20"/>
                <w:lang w:val="en-US" w:eastAsia="zh-CN" w:bidi="ar"/>
              </w:rPr>
              <w:t>25</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eastAsia" w:ascii="Calibri" w:hAnsi="Calibri" w:cs="Calibri"/>
                <w:color w:val="000000"/>
                <w:kern w:val="0"/>
                <w:sz w:val="20"/>
                <w:szCs w:val="20"/>
                <w:lang w:val="en-US" w:eastAsia="zh-CN" w:bidi="ar"/>
              </w:rPr>
              <w:t>25</w:t>
            </w:r>
            <w:bookmarkStart w:id="0" w:name="_GoBack"/>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eastAsia" w:ascii="Calibri" w:hAnsi="Calibri" w:cs="Calibri"/>
                <w:color w:val="000000"/>
                <w:kern w:val="0"/>
                <w:sz w:val="20"/>
                <w:szCs w:val="20"/>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3</w:t>
            </w:r>
            <w:r>
              <w:rPr>
                <w:rFonts w:hint="default" w:ascii="Calibri" w:hAnsi="Calibri"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color w:val="000000"/>
              </w:rPr>
            </w:pPr>
            <w:r>
              <w:rPr>
                <w:rFonts w:hint="eastAsia" w:ascii="宋体" w:hAnsi="宋体" w:eastAsia="宋体" w:cs="宋体"/>
                <w:color w:val="000000"/>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color w:val="000000"/>
              </w:rPr>
            </w:pPr>
            <w:r>
              <w:rPr>
                <w:rFonts w:hint="eastAsia" w:ascii="宋体" w:hAnsi="宋体" w:eastAsia="宋体" w:cs="宋体"/>
                <w:color w:val="000000"/>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color w:val="000000"/>
              </w:rPr>
            </w:pPr>
            <w:r>
              <w:rPr>
                <w:rFonts w:hint="eastAsia" w:ascii="宋体" w:hAnsi="宋体" w:eastAsia="宋体" w:cs="宋体"/>
                <w:color w:val="000000"/>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eastAsia" w:ascii="Calibri" w:hAnsi="Calibri" w:cs="Calibri"/>
                <w:color w:val="000000"/>
                <w:kern w:val="0"/>
                <w:sz w:val="20"/>
                <w:szCs w:val="20"/>
                <w:lang w:val="en-US" w:eastAsia="zh-CN" w:bidi="ar"/>
              </w:rPr>
              <w:t>35</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eastAsia" w:ascii="Calibri" w:hAnsi="Calibri" w:cs="Calibri"/>
                <w:color w:val="000000"/>
                <w:kern w:val="0"/>
                <w:sz w:val="20"/>
                <w:szCs w:val="20"/>
                <w:lang w:val="en-US" w:eastAsia="zh-CN" w:bidi="ar"/>
              </w:rPr>
              <w:t>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color w:val="000000"/>
              </w:rPr>
            </w:pPr>
            <w:r>
              <w:rPr>
                <w:rFonts w:hint="eastAsia" w:ascii="宋体" w:hAnsi="宋体" w:eastAsia="宋体" w:cs="宋体"/>
                <w:color w:val="000000"/>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shd w:val="clear" w:color="auto" w:fill="FFFFFF"/>
        </w:rPr>
        <w:t>四、政府信息公开行政复议、行政诉讼情况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宋体" w:hAnsi="宋体" w:eastAsia="宋体" w:cs="宋体"/>
          <w:i w:val="0"/>
          <w:iCs w:val="0"/>
          <w:caps w:val="0"/>
          <w:color w:val="000000"/>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sz w:val="21"/>
                <w:szCs w:val="22"/>
              </w:rPr>
            </w:pPr>
            <w:r>
              <w:rPr>
                <w:rFonts w:hint="eastAsia" w:ascii="宋体" w:hAnsi="宋体" w:eastAsia="宋体" w:cs="宋体"/>
                <w:color w:val="000000"/>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sz w:val="21"/>
                <w:szCs w:val="22"/>
              </w:rPr>
            </w:pPr>
            <w:r>
              <w:rPr>
                <w:rFonts w:hint="eastAsia" w:ascii="宋体" w:hAnsi="宋体" w:eastAsia="宋体" w:cs="宋体"/>
                <w:color w:val="000000"/>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sz w:val="21"/>
                <w:szCs w:val="22"/>
              </w:rPr>
            </w:pPr>
            <w:r>
              <w:rPr>
                <w:rFonts w:hint="eastAsia" w:ascii="宋体" w:hAnsi="宋体" w:eastAsia="宋体" w:cs="宋体"/>
                <w:color w:val="000000"/>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sz w:val="21"/>
                <w:szCs w:val="22"/>
              </w:rPr>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sz w:val="21"/>
                <w:szCs w:val="22"/>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sz w:val="21"/>
                <w:szCs w:val="22"/>
              </w:rPr>
            </w:pPr>
            <w:r>
              <w:rPr>
                <w:rFonts w:hint="eastAsia" w:ascii="宋体" w:hAnsi="宋体" w:eastAsia="宋体" w:cs="宋体"/>
                <w:color w:val="000000"/>
                <w:kern w:val="0"/>
                <w:sz w:val="20"/>
                <w:szCs w:val="20"/>
                <w:lang w:val="en-US" w:eastAsia="zh-CN" w:bidi="ar"/>
              </w:rPr>
              <w:t>尚未</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sz w:val="21"/>
                <w:szCs w:val="22"/>
              </w:rPr>
            </w:pPr>
            <w:r>
              <w:rPr>
                <w:rFonts w:hint="eastAsia" w:ascii="宋体" w:hAnsi="宋体" w:eastAsia="宋体" w:cs="宋体"/>
                <w:color w:val="000000"/>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sz w:val="21"/>
                <w:szCs w:val="22"/>
              </w:rPr>
            </w:pPr>
            <w:r>
              <w:rPr>
                <w:rFonts w:hint="eastAsia" w:ascii="宋体" w:hAnsi="宋体" w:eastAsia="宋体" w:cs="宋体"/>
                <w:color w:val="000000"/>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sz w:val="21"/>
                <w:szCs w:val="22"/>
              </w:rPr>
            </w:pPr>
            <w:r>
              <w:rPr>
                <w:rFonts w:hint="eastAsia" w:ascii="宋体" w:hAnsi="宋体" w:eastAsia="宋体" w:cs="宋体"/>
                <w:color w:val="000000"/>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color w:val="000000"/>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sz w:val="21"/>
                <w:szCs w:val="22"/>
              </w:rPr>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sz w:val="21"/>
                <w:szCs w:val="22"/>
              </w:rPr>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sz w:val="21"/>
                <w:szCs w:val="22"/>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sz w:val="21"/>
                <w:szCs w:val="22"/>
              </w:rPr>
            </w:pPr>
            <w:r>
              <w:rPr>
                <w:rFonts w:hint="eastAsia" w:ascii="宋体" w:hAnsi="宋体" w:eastAsia="宋体" w:cs="宋体"/>
                <w:color w:val="000000"/>
                <w:kern w:val="0"/>
                <w:sz w:val="20"/>
                <w:szCs w:val="20"/>
                <w:lang w:val="en-US" w:eastAsia="zh-CN" w:bidi="ar"/>
              </w:rPr>
              <w:t>尚未</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sz w:val="21"/>
                <w:szCs w:val="22"/>
              </w:rP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sz w:val="21"/>
                <w:szCs w:val="22"/>
              </w:rPr>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sz w:val="21"/>
                <w:szCs w:val="22"/>
              </w:rPr>
            </w:pPr>
            <w:r>
              <w:rPr>
                <w:rFonts w:hint="eastAsia" w:ascii="宋体" w:hAnsi="宋体" w:eastAsia="宋体" w:cs="宋体"/>
                <w:color w:val="000000"/>
                <w:kern w:val="0"/>
                <w:sz w:val="20"/>
                <w:szCs w:val="20"/>
                <w:lang w:val="en-US" w:eastAsia="zh-CN" w:bidi="ar"/>
              </w:rPr>
              <w:t>结果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sz w:val="21"/>
                <w:szCs w:val="22"/>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sz w:val="21"/>
                <w:szCs w:val="22"/>
              </w:rPr>
            </w:pPr>
            <w:r>
              <w:rPr>
                <w:rFonts w:hint="eastAsia" w:ascii="宋体" w:hAnsi="宋体" w:eastAsia="宋体" w:cs="宋体"/>
                <w:color w:val="000000"/>
                <w:kern w:val="0"/>
                <w:sz w:val="20"/>
                <w:szCs w:val="20"/>
                <w:lang w:val="en-US" w:eastAsia="zh-CN" w:bidi="ar"/>
              </w:rPr>
              <w:t>尚未</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color w:val="000000"/>
                <w:sz w:val="21"/>
                <w:szCs w:val="22"/>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2</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2</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eastAsia" w:ascii="Calibri" w:hAnsi="Calibri" w:cs="Calibri"/>
                <w:color w:val="000000"/>
                <w:kern w:val="0"/>
                <w:sz w:val="20"/>
                <w:szCs w:val="20"/>
                <w:lang w:val="en-US" w:eastAsia="zh-CN" w:bidi="ar"/>
              </w:rPr>
              <w:t>4</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color w:val="000000"/>
                <w:kern w:val="2"/>
                <w:sz w:val="21"/>
                <w:szCs w:val="22"/>
                <w:lang w:val="en-US" w:eastAsia="zh-CN" w:bidi="ar-SA"/>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color w:val="000000"/>
                <w:kern w:val="2"/>
                <w:sz w:val="21"/>
                <w:szCs w:val="22"/>
                <w:lang w:val="en-US" w:eastAsia="zh-CN" w:bidi="ar-SA"/>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default" w:ascii="Calibri" w:hAnsi="Calibri" w:cs="Calibri"/>
                <w:color w:val="000000"/>
                <w:kern w:val="0"/>
                <w:sz w:val="20"/>
                <w:szCs w:val="20"/>
                <w:lang w:val="en-US" w:eastAsia="zh-CN" w:bidi="ar"/>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200" w:firstLineChars="100"/>
              <w:jc w:val="both"/>
              <w:textAlignment w:val="auto"/>
              <w:rPr>
                <w:rFonts w:hint="eastAsia"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color w:val="00000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shd w:val="clear" w:color="auto" w:fill="FFFFFF"/>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政府办公室按照省、市、县的要求部署，围绕政府信息公开保障、内容、维护等方面取得了一定成绩，但是政务公开工作仍存在不足：政务公开高质量建设水平有待进一步加强；政策解读质量和效果有待进一步提高；政务公开队伍建设还需进一步加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下一步，我办将坚持以习近平新时代中国特色社会主义思想为指导，全面贯彻落实党的二十大精神，深入贯彻习近平总书记对河北、承德系列重要讲话和重要指示精神，围绕中心工作，扎实推进政务公开高质量发展。一</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是全过程推进政务公开。</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持续深入决策、执行、管理、服务、结果“五公开”，进一步完善公开内容、改进公开方式，推动政府运转更加阳光、透明、高效。</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二是全领域规范运行。</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围绕各领域的公开内容、标准、方式，深入推进政务公开制度化标准化建设，不断提升政府信息供给质量。</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三是全维度构建体系。</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健全完善公开、解读、回应、互动、平台有序衔接的公开体系，让群众了解政策内容、理解施政目标、参与执行过程，最大限度增进政民企协同协作。</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四是全流程优化政务服务。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坚持把公开的要求贯穿于政务服务各个环节，使公开与服务相互促进、相得益彰，充分发挥以公开促落实、优服务功能。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shd w:val="clear" w:color="auto" w:fill="FFFFFF"/>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pPr>
      <w:r>
        <w:rPr>
          <w:rFonts w:hint="eastAsia" w:ascii="仿宋_GB2312" w:hAnsi="仿宋_GB2312" w:eastAsia="仿宋_GB2312" w:cs="仿宋_GB2312"/>
          <w:i w:val="0"/>
          <w:iCs w:val="0"/>
          <w:caps w:val="0"/>
          <w:color w:val="000000"/>
          <w:spacing w:val="0"/>
          <w:sz w:val="32"/>
          <w:szCs w:val="32"/>
          <w:shd w:val="clear" w:color="auto" w:fill="FFFFFF"/>
          <w:lang w:val="en-US" w:eastAsia="zh-CN"/>
        </w:rPr>
        <w:t>无</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DZiZWIzMTQ5NWJlODAwZDUxMzVhZWEwNGU0NWYifQ=="/>
  </w:docVars>
  <w:rsids>
    <w:rsidRoot w:val="6188175D"/>
    <w:rsid w:val="00D13ED0"/>
    <w:rsid w:val="06C510AB"/>
    <w:rsid w:val="18002985"/>
    <w:rsid w:val="242022A8"/>
    <w:rsid w:val="32C16591"/>
    <w:rsid w:val="340054C9"/>
    <w:rsid w:val="46460AF4"/>
    <w:rsid w:val="54137829"/>
    <w:rsid w:val="5CF7267B"/>
    <w:rsid w:val="5F75150D"/>
    <w:rsid w:val="6188175D"/>
    <w:rsid w:val="619810BF"/>
    <w:rsid w:val="64F8789F"/>
    <w:rsid w:val="73075AAA"/>
    <w:rsid w:val="753A180E"/>
    <w:rsid w:val="7B974D78"/>
    <w:rsid w:val="7C294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2024-01-25T01:09:00Z</dcterms:created>
  <dc:creator>꧁ 高暢 ꧂</dc:creator>
  <cp:lastModifiedBy>꧁ 高暢 ꧂</cp:lastModifiedBy>
  <dcterms:modified xsi:type="dcterms:W3CDTF">2024-02-28T06:46:24Z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178B266BB13F4EF799AD7C84C3733EC0_13</vt:lpwstr>
  </property>
</Properties>
</file>