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i w:val="0"/>
          <w:iCs w:val="0"/>
          <w:caps w:val="0"/>
          <w:color w:val="000000"/>
          <w:spacing w:val="0"/>
          <w:sz w:val="28"/>
          <w:szCs w:val="28"/>
          <w:shd w:val="clear" w:fill="FFFFFF"/>
        </w:rPr>
      </w:pPr>
      <w:bookmarkStart w:id="0" w:name="_GoBack"/>
      <w:r>
        <w:rPr>
          <w:rFonts w:hint="eastAsia" w:ascii="方正公文小标宋" w:hAnsi="方正公文小标宋" w:eastAsia="方正公文小标宋" w:cs="方正公文小标宋"/>
          <w:i w:val="0"/>
          <w:iCs w:val="0"/>
          <w:caps w:val="0"/>
          <w:color w:val="000000"/>
          <w:spacing w:val="0"/>
          <w:sz w:val="36"/>
          <w:szCs w:val="36"/>
          <w:shd w:val="clear" w:fill="FFFFFF"/>
        </w:rPr>
        <w:t>自然资源部关于深化规划用地“多审合一、多证合一”改革的通知</w:t>
      </w:r>
      <w:bookmarkEnd w:id="0"/>
    </w:p>
    <w:p>
      <w:pPr>
        <w:jc w:val="center"/>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自然资发 〔2023〕69号</w:t>
      </w:r>
    </w:p>
    <w:p>
      <w:pPr>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各省、自治区、直辖市自然资源主管部门，新疆生产建设兵团自然资源局：</w:t>
      </w:r>
    </w:p>
    <w:p>
      <w:pPr>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　　为贯彻落实党中央、国务院关于推进政府职能转变、深化“放管服”改革和优化营商环境的决策部署，进一步落实《中共中央 国务院关于建立国土空间规划体系并监督实施的若干意见》以“多规合一”为基础，统筹规划、建设、管理三大环节，推动“多审合一”“多证合一”，提高审批效能和监管服务水平的要求，现就有关事项通知如下：</w:t>
      </w:r>
    </w:p>
    <w:p>
      <w:pPr>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　　一、加快推进总体规划审批。各地要贯彻落实深化“多规合一”改革和《全国国土空间规划纲要（2021-2035年）》要求，加快推进地方各级国土空间总体规划编制审批。下级规划要服从上级规划，总体规划要统筹和综合平衡各相关专项规划的空间需求。</w:t>
      </w:r>
    </w:p>
    <w:p>
      <w:pPr>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　　二、及时开展详细规划编制或修编。各地自然资源主管部门应根据总体规划，在“三区三线”划定基础上，结合实际加快推进城镇国土空间详细规划和村庄规划的编制（修编）和审批，为开发建设、开展城市更新行动、乡村建设行动，以及实施建设用地规划许可、建设工程规划许可、乡村建设规划许可等提供法定依据。对有成片开发要求及全域土地综合整治试点、集体经营性建设用地入市试点需求的地区，应优先完成详细规划编制工作。</w:t>
      </w:r>
    </w:p>
    <w:p>
      <w:pPr>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　　三、依据规划实施农用地转用和土地征收。报批城镇用地农用地转用和土地征收应符合国土空间总体规划、详细规划和土地使用标准等要求，并按照《国土空间调查、规划、用途管制用地用海分类指南》明确土地规划用途和建设项目用地类型。</w:t>
      </w:r>
    </w:p>
    <w:p>
      <w:pPr>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　　四、实施规划选址综合论证。位于城镇开发边界外并涉及耕地、永久基本农田、生态保护红线的交通、能源、水利等建设项目，地方自然资源主管部门应整合现行的规划选址论证、耕地踏勘论证、永久基本农田占用补划论证、生态保护红线不可避让论证、节地评价等事项为规划选址综合论证，防止重复论证和审查，论证报告作为建设项目用地预审与选址意见书的申报材料。</w:t>
      </w:r>
    </w:p>
    <w:p>
      <w:pPr>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　　五、鼓励同步核发规划许可。对市政基础设施和标准厂房建设项目，在不违反市场公平竞争原则的前提下，可在土地供应前，由自然资源主管部门依据国土空间详细规划及土地使用标准核提规划条件，审查建设工程设计方案，按程序纳入供地方案，实施“带方案供应”。其中，以出让方式配置国有建设用地使用权的，国有建设用地使用权出让合同签订后，一并核发建设用地规划许可证、建设工程规划许可证；以划拨方式配置国有建设用地使用权的，一并核发国有建设用地划拨决定书、建设用地规划许可证与建设工程规划许可证。鼓励地方探索同步发放不动产权证书，依法依规实行“交地即交证”。</w:t>
      </w:r>
    </w:p>
    <w:p>
      <w:pPr>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　　六、聚焦规划条件落实情况分类审查建设工程设计方案、核发建设工程规划许可证。市、县自然资源主管部门或省级人民政府确定的镇人民政府审查建设工程设计方案是否符合国土空间详细规划和规划条件，重点审查涉及安全、主要控制线、景观风貌等管理要求。其中，建筑工程类项目应重点审查土地用途、控制指标、场地布局、公共空间、相邻关系、建筑高度、风貌形态、设施配建等；交通工程类项目应重点审查道路等级（轨道交通类型）、相邻关系、竖向标高、横断面等；管线工程类项目应重点审查管线类型、安全间距、敷设埋深、相邻关系等。</w:t>
      </w:r>
    </w:p>
    <w:p>
      <w:pPr>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　　七、探索建立建设工程规划许可豁免清单和告知承诺制。各地可在不影响周边利害关系人合法权益、不改变建筑主体结构、不破坏景观环境、保证公共安全和公共利益的前提下，对老旧小区微改造、城市公共空间服务功能提升等微更新项目，探索制定建设工程规划许可豁免清单并完善监管机制。各地还可区分项目类型、风险程度，按照最大限度利企便民的原则探索建设工程规划许可告知承诺制，明确提交材料的要求、承诺的具体内容以及违反承诺应承担的法律责任；申请人以书面形式作出承诺的，可由自然资源主管部门直接作出许可决定，并做好后续监管。</w:t>
      </w:r>
    </w:p>
    <w:p>
      <w:pPr>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　　八、优化乡村建设规划许可管理。依据依法批准的村庄规划核发乡村建设规划许可证；未编制村庄规划的，可依据县或乡镇“通则式”的国土空间规划管理规定，核发乡村建设规划许可证。在城镇开发边界内使用集体土地进行建设的，可依据国土空间详细规划核发建设工程规划许可证；地方性法规另有规定的，从其规定。核发农村村民住宅类乡村建设规划许可应重点审查用地面积、四至范围、建设占用现状地类、建筑面积、建筑高度、建筑层数、相邻关系等事项。在尊重乡村地域风貌特色的前提下，鼓励各地提供农村村民住宅、污水处理设施、垃圾储运、公厕等简易项目的通用设计方案，并简化乡村建设规划许可的审批流程。</w:t>
      </w:r>
    </w:p>
    <w:p>
      <w:pPr>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　　九、推进用途管制全周期数字化管理。各地要加快实景三维中国建设，丰富时空信息数据供给，依托国土空间规划“一张图”、国土空间基础信息平台、用途管制监管系统，按照自然资源部印发的行政许可实施规范和国土空间规划、用途管制等有关标准，积极推动建设项目用地预审与选址、建设用地规划许可、建设工程规划许可、乡村建设规划许可、规划用地核实等规范化、标准化、数字化，实施国土空间用途管制业务全周期数字化监管。严格执行自然资源部监制（制定）的规划用地审批许可文书规范样式，有序推进规划许可电子证照应用。积极推动政府部门内部规划用地信息共享和办理结果自动推送，避免行政相对人在不同环节重复提交有关文件、证书等材料。积极通过互联网、手机APP等，为行政相对人提供在线办理等服务。</w:t>
      </w:r>
    </w:p>
    <w:p>
      <w:pPr>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 xml:space="preserve"> </w:t>
      </w:r>
    </w:p>
    <w:p>
      <w:pPr>
        <w:jc w:val="right"/>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自然资源部</w:t>
      </w:r>
    </w:p>
    <w:p>
      <w:pPr>
        <w:jc w:val="right"/>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2023年5月4日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汉仪雅酷黑 75W">
    <w:altName w:val="汉仪雅酷黑 75W"/>
    <w:panose1 w:val="020B0804020202020204"/>
    <w:charset w:val="86"/>
    <w:family w:val="auto"/>
    <w:pitch w:val="default"/>
    <w:sig w:usb0="A00002FF" w:usb1="28C17CFA" w:usb2="00000016" w:usb3="00000000" w:csb0="2004000F" w:csb1="00000000"/>
  </w:font>
  <w:font w:name="方正公文小标宋">
    <w:panose1 w:val="02000500000000000000"/>
    <w:charset w:val="86"/>
    <w:family w:val="auto"/>
    <w:pitch w:val="default"/>
    <w:sig w:usb0="A00002BF" w:usb1="38CF7CFA" w:usb2="00000016" w:usb3="00000000" w:csb0="00040001" w:csb1="00000000"/>
    <w:embedRegular r:id="rId1" w:fontKey="{CD0B9EEC-DF82-435E-8701-5C499926AE6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NWNjMDExOTA2ZTUxN2YzNDNmZTkyYWU0NjdiNGEifQ=="/>
  </w:docVars>
  <w:rsids>
    <w:rsidRoot w:val="41FE4CFD"/>
    <w:rsid w:val="41FE4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2023-06-13T04:16:00Z</dcterms:created>
  <dc:creator>会员</dc:creator>
  <cp:lastModifiedBy>会员</cp:lastModifiedBy>
  <dcterms:modified xsi:type="dcterms:W3CDTF">2023-06-13T04:21:41Z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5049646C09CB4517835452B4ED003ABF_11</vt:lpwstr>
  </property>
</Properties>
</file>